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D9" w:rsidRDefault="002131D9" w:rsidP="002131D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1569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1569">
        <w:rPr>
          <w:rFonts w:ascii="Times New Roman" w:hAnsi="Times New Roman" w:cs="Times New Roman"/>
          <w:sz w:val="28"/>
          <w:szCs w:val="28"/>
        </w:rPr>
        <w:t xml:space="preserve"> диагностической работы по математике </w:t>
      </w:r>
    </w:p>
    <w:p w:rsidR="00171569" w:rsidRDefault="00171569" w:rsidP="002131D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обучающихся 11 класса базового уровня</w:t>
      </w:r>
    </w:p>
    <w:p w:rsidR="00171569" w:rsidRDefault="00171569" w:rsidP="00171569">
      <w:pPr>
        <w:pStyle w:val="Default"/>
        <w:rPr>
          <w:sz w:val="28"/>
          <w:szCs w:val="28"/>
        </w:rPr>
      </w:pPr>
    </w:p>
    <w:p w:rsidR="00171569" w:rsidRDefault="00171569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Диагностическая работа по математике в 11-х классах базового уровня (далее – ДР-11-б) проводилась  на основании приказа Департамента Смоленской области по образованию и науке от 08.10.2019 № 844-ОД. Целью проведения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являлось определение готовности обучающихся 11-х классов общеобраз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организаций к единому государственному экзамену по математике базового уровня. </w:t>
      </w:r>
    </w:p>
    <w:p w:rsidR="00171569" w:rsidRDefault="00171569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выполнения ДР-11-бследующие.</w:t>
      </w:r>
    </w:p>
    <w:p w:rsidR="00476E00" w:rsidRDefault="00171569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выполняли 1847 обучающихся 11-х классов образовательных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ганизаций Смоленской области, планирующих сдавать ЕГЭ по математике на базовом уровне. Процент успеваемости (% обучающихся, успешно выполни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ДР-11-б) </w:t>
      </w:r>
      <w:r w:rsidR="00F556D4">
        <w:rPr>
          <w:rFonts w:ascii="Times New Roman" w:hAnsi="Times New Roman" w:cs="Times New Roman"/>
          <w:sz w:val="28"/>
          <w:szCs w:val="28"/>
        </w:rPr>
        <w:t>равен 87,3%, процент качества (% обучающихся, получивших за выполнение работы «4» и «5») составил 39,8%. Средняя отметка за выполнение ДР-11-б составила 3,34 балла по 5-балльной системе.</w:t>
      </w:r>
      <w:r w:rsidR="0089575F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proofErr w:type="gramStart"/>
      <w:r w:rsidR="0089575F">
        <w:rPr>
          <w:rFonts w:ascii="Times New Roman" w:hAnsi="Times New Roman" w:cs="Times New Roman"/>
          <w:sz w:val="28"/>
          <w:szCs w:val="28"/>
        </w:rPr>
        <w:t>обуча</w:t>
      </w:r>
      <w:r w:rsidR="0089575F">
        <w:rPr>
          <w:rFonts w:ascii="Times New Roman" w:hAnsi="Times New Roman" w:cs="Times New Roman"/>
          <w:sz w:val="28"/>
          <w:szCs w:val="28"/>
        </w:rPr>
        <w:t>ю</w:t>
      </w:r>
      <w:r w:rsidR="0089575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89575F">
        <w:rPr>
          <w:rFonts w:ascii="Times New Roman" w:hAnsi="Times New Roman" w:cs="Times New Roman"/>
          <w:sz w:val="28"/>
          <w:szCs w:val="28"/>
        </w:rPr>
        <w:t xml:space="preserve"> по полученным отметкам за работу представлено на диаграмме 1.</w:t>
      </w:r>
    </w:p>
    <w:p w:rsidR="0089575F" w:rsidRDefault="0089575F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1. Распределение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полученным отметкам за выполнение ДР-11-б</w:t>
      </w:r>
    </w:p>
    <w:p w:rsidR="0089575F" w:rsidRDefault="0089575F" w:rsidP="001715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57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1475" cy="3307715"/>
            <wp:effectExtent l="19050" t="0" r="9525" b="698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575F" w:rsidRDefault="0089575F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Отмечаем, что наибольшая часть обучающихся (почти половина всех участников ДР-11-б) набрала достаточное количество баллов для выставления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отметки «3». Вторая по численности группа – «хорошисты», получившие 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работы «4».  Так как оценка за ЕГЭ базового уровня влияет только на получение аттестата, то можно считать, что большинство обучающиеся 11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сов, получивших положительные отметки за работу, успешно пройдут итоговую аттестацию.</w:t>
      </w:r>
    </w:p>
    <w:p w:rsidR="00605E54" w:rsidRDefault="009B12DA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ДР-11-б включала 14 заданий базового уровня, выполнение каждого из которых оценивалось в 1 балл. </w:t>
      </w:r>
      <w:r w:rsidR="00BE592D">
        <w:rPr>
          <w:rFonts w:ascii="Times New Roman" w:hAnsi="Times New Roman" w:cs="Times New Roman"/>
          <w:sz w:val="28"/>
          <w:szCs w:val="28"/>
        </w:rPr>
        <w:t xml:space="preserve">Максимально возможное количество баллов за работу было равно 14. </w:t>
      </w:r>
      <w:r w:rsidR="00C63D44">
        <w:rPr>
          <w:rFonts w:ascii="Times New Roman" w:hAnsi="Times New Roman" w:cs="Times New Roman"/>
          <w:sz w:val="28"/>
          <w:szCs w:val="28"/>
        </w:rPr>
        <w:t xml:space="preserve">Такие баллы за выполнение работы получили 37 </w:t>
      </w:r>
      <w:proofErr w:type="spellStart"/>
      <w:r w:rsidR="00C63D44">
        <w:rPr>
          <w:rFonts w:ascii="Times New Roman" w:hAnsi="Times New Roman" w:cs="Times New Roman"/>
          <w:sz w:val="28"/>
          <w:szCs w:val="28"/>
        </w:rPr>
        <w:t>одинн</w:t>
      </w:r>
      <w:r w:rsidR="00C63D44">
        <w:rPr>
          <w:rFonts w:ascii="Times New Roman" w:hAnsi="Times New Roman" w:cs="Times New Roman"/>
          <w:sz w:val="28"/>
          <w:szCs w:val="28"/>
        </w:rPr>
        <w:t>а</w:t>
      </w:r>
      <w:r w:rsidR="00C63D44">
        <w:rPr>
          <w:rFonts w:ascii="Times New Roman" w:hAnsi="Times New Roman" w:cs="Times New Roman"/>
          <w:sz w:val="28"/>
          <w:szCs w:val="28"/>
        </w:rPr>
        <w:t>дцатиклассников</w:t>
      </w:r>
      <w:proofErr w:type="spellEnd"/>
      <w:r w:rsidR="00C63D44">
        <w:rPr>
          <w:rFonts w:ascii="Times New Roman" w:hAnsi="Times New Roman" w:cs="Times New Roman"/>
          <w:sz w:val="28"/>
          <w:szCs w:val="28"/>
        </w:rPr>
        <w:t xml:space="preserve">, что составляет 2,0% всех участников ДР-11-б.  </w:t>
      </w:r>
    </w:p>
    <w:p w:rsidR="009B12DA" w:rsidRDefault="00BE592D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диаграмме </w:t>
      </w:r>
      <w:r w:rsidR="008957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приведено распределение обучающихся 11- 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баллам за выполнение работы.</w:t>
      </w:r>
    </w:p>
    <w:p w:rsidR="00BE592D" w:rsidRDefault="00BE592D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8957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получивших различные баллы 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ДР-11-б</w:t>
      </w:r>
    </w:p>
    <w:p w:rsidR="00BE592D" w:rsidRDefault="00BE592D" w:rsidP="009372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9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844" cy="4063755"/>
            <wp:effectExtent l="19050" t="0" r="1880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5E54" w:rsidRDefault="00BE592D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видим, на диаграмме представленное распределение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имеет резко выраженные максимумы. Один из них - %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набравших 6 баллов, соответствует минимальной границе для получения отметки «3», а другой - % набравших 10 баллов – минимальной границе для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«4».  Такое распределение свидетельствует о необъективности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результатов, имеющейся тенденции к их</w:t>
      </w:r>
      <w:r w:rsidR="00C63D44">
        <w:rPr>
          <w:rFonts w:ascii="Times New Roman" w:hAnsi="Times New Roman" w:cs="Times New Roman"/>
          <w:sz w:val="28"/>
          <w:szCs w:val="28"/>
        </w:rPr>
        <w:t xml:space="preserve"> завышению. </w:t>
      </w:r>
    </w:p>
    <w:p w:rsidR="00BE592D" w:rsidRDefault="00C63D44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индекс низких результатов, то есть % обучающихся, получи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за ДР-11-б от 0 до 6 баллов включительно, составляет 26,3%. Это означает, что 26,3% обучающихся составляют группу «риска»  и имеют шансы </w:t>
      </w:r>
      <w:r w:rsidR="00605E54">
        <w:rPr>
          <w:rFonts w:ascii="Times New Roman" w:hAnsi="Times New Roman" w:cs="Times New Roman"/>
          <w:sz w:val="28"/>
          <w:szCs w:val="28"/>
        </w:rPr>
        <w:t xml:space="preserve">провалить ЕГЭ. Причём 2,9% обучающихся получили за работу 0 – 2 балла, </w:t>
      </w:r>
      <w:proofErr w:type="gramStart"/>
      <w:r w:rsidR="00605E54">
        <w:rPr>
          <w:rFonts w:ascii="Times New Roman" w:hAnsi="Times New Roman" w:cs="Times New Roman"/>
          <w:sz w:val="28"/>
          <w:szCs w:val="28"/>
        </w:rPr>
        <w:t>продемонстр</w:t>
      </w:r>
      <w:r w:rsidR="00605E54">
        <w:rPr>
          <w:rFonts w:ascii="Times New Roman" w:hAnsi="Times New Roman" w:cs="Times New Roman"/>
          <w:sz w:val="28"/>
          <w:szCs w:val="28"/>
        </w:rPr>
        <w:t>и</w:t>
      </w:r>
      <w:r w:rsidR="00605E54">
        <w:rPr>
          <w:rFonts w:ascii="Times New Roman" w:hAnsi="Times New Roman" w:cs="Times New Roman"/>
          <w:sz w:val="28"/>
          <w:szCs w:val="28"/>
        </w:rPr>
        <w:t>ровав</w:t>
      </w:r>
      <w:proofErr w:type="gramEnd"/>
      <w:r w:rsidR="00605E54">
        <w:rPr>
          <w:rFonts w:ascii="Times New Roman" w:hAnsi="Times New Roman" w:cs="Times New Roman"/>
          <w:sz w:val="28"/>
          <w:szCs w:val="28"/>
        </w:rPr>
        <w:t xml:space="preserve"> таким образом крайне низкий уровень математической компетентности. Рекомендуем педагогам тщательно проанализировать работы этих выпускников, выявить имеющиеся пробелы и принять план коррекции знаний и умений об</w:t>
      </w:r>
      <w:r w:rsidR="00605E54">
        <w:rPr>
          <w:rFonts w:ascii="Times New Roman" w:hAnsi="Times New Roman" w:cs="Times New Roman"/>
          <w:sz w:val="28"/>
          <w:szCs w:val="28"/>
        </w:rPr>
        <w:t>у</w:t>
      </w:r>
      <w:r w:rsidR="00605E54">
        <w:rPr>
          <w:rFonts w:ascii="Times New Roman" w:hAnsi="Times New Roman" w:cs="Times New Roman"/>
          <w:sz w:val="28"/>
          <w:szCs w:val="28"/>
        </w:rPr>
        <w:t>чающихся.</w:t>
      </w:r>
    </w:p>
    <w:p w:rsidR="0089575F" w:rsidRDefault="0089575F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теперь результаты выполнения ДР-11-б в разрезе достижения планируемых результатов, проверяемых в рамках работы. Таблица 1 представл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средний процент овладения математическими умениями, продемон</w:t>
      </w:r>
      <w:r w:rsidR="005F13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ванный участниками ДР-11-б. </w:t>
      </w:r>
    </w:p>
    <w:p w:rsidR="0089575F" w:rsidRDefault="0089575F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Процент </w:t>
      </w:r>
      <w:r w:rsidR="005F13DE">
        <w:rPr>
          <w:rFonts w:ascii="Times New Roman" w:hAnsi="Times New Roman" w:cs="Times New Roman"/>
          <w:sz w:val="28"/>
          <w:szCs w:val="28"/>
        </w:rPr>
        <w:t>освоения умений, диагностируемых в рамках выпо</w:t>
      </w:r>
      <w:r w:rsidR="005F13DE">
        <w:rPr>
          <w:rFonts w:ascii="Times New Roman" w:hAnsi="Times New Roman" w:cs="Times New Roman"/>
          <w:sz w:val="28"/>
          <w:szCs w:val="28"/>
        </w:rPr>
        <w:t>л</w:t>
      </w:r>
      <w:r w:rsidR="005F13DE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 xml:space="preserve"> Др-11-б.</w:t>
      </w:r>
    </w:p>
    <w:tbl>
      <w:tblPr>
        <w:tblStyle w:val="a5"/>
        <w:tblW w:w="0" w:type="auto"/>
        <w:tblLook w:val="04A0"/>
      </w:tblPr>
      <w:tblGrid>
        <w:gridCol w:w="1147"/>
        <w:gridCol w:w="7087"/>
        <w:gridCol w:w="1669"/>
      </w:tblGrid>
      <w:tr w:rsidR="005F13DE" w:rsidTr="005F13DE">
        <w:tc>
          <w:tcPr>
            <w:tcW w:w="1101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7087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Проверяемое умение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выполнения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вычисления и преобразования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82, 7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Уметь использовать приобретенные знания и умения в практической деятельности и повседневной жизни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вычисления и преобразования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Уметь преобразовывать тригонометрические выражения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уравнения и неравенства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простейшие математич</w:t>
            </w: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ские модели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действия с функциями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Pr="005F13DE" w:rsidRDefault="005F13DE" w:rsidP="0093721A">
            <w:pPr>
              <w:tabs>
                <w:tab w:val="left" w:pos="851"/>
              </w:tabs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действия с геометрическими фигурами 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Default="005F13DE" w:rsidP="0093721A">
            <w:pPr>
              <w:tabs>
                <w:tab w:val="left" w:pos="851"/>
              </w:tabs>
              <w:spacing w:line="276" w:lineRule="auto"/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 и неравенства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Default="005F13DE" w:rsidP="0093721A">
            <w:pPr>
              <w:tabs>
                <w:tab w:val="left" w:pos="851"/>
              </w:tabs>
              <w:spacing w:line="276" w:lineRule="auto"/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простейшие математич</w:t>
            </w: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ские модели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5F13DE" w:rsidTr="005F13DE">
        <w:tc>
          <w:tcPr>
            <w:tcW w:w="1101" w:type="dxa"/>
          </w:tcPr>
          <w:p w:rsidR="005F13DE" w:rsidRPr="005F13DE" w:rsidRDefault="005F13DE" w:rsidP="0093721A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F13DE" w:rsidRDefault="005F13DE" w:rsidP="0093721A">
            <w:pPr>
              <w:tabs>
                <w:tab w:val="left" w:pos="851"/>
              </w:tabs>
              <w:spacing w:line="276" w:lineRule="auto"/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простейшие математич</w:t>
            </w: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13DE">
              <w:rPr>
                <w:rFonts w:ascii="Times New Roman" w:hAnsi="Times New Roman" w:cs="Times New Roman"/>
                <w:sz w:val="28"/>
                <w:szCs w:val="28"/>
              </w:rPr>
              <w:t>ские модели</w:t>
            </w:r>
          </w:p>
        </w:tc>
        <w:tc>
          <w:tcPr>
            <w:tcW w:w="1629" w:type="dxa"/>
          </w:tcPr>
          <w:p w:rsidR="005F13DE" w:rsidRDefault="005F13DE" w:rsidP="009372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</w:tbl>
    <w:p w:rsidR="0089575F" w:rsidRDefault="005F13DE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видим из таблицы, минимальный уровень освоения умений (66%) преодолен обучающимися по следующим умениям: </w:t>
      </w:r>
    </w:p>
    <w:p w:rsidR="005F13DE" w:rsidRPr="00B3394C" w:rsidRDefault="005F13DE" w:rsidP="0093721A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lastRenderedPageBreak/>
        <w:t>выполнять вычисления и преобразования (более 80% выполнения);</w:t>
      </w:r>
    </w:p>
    <w:p w:rsidR="005F13DE" w:rsidRPr="00B3394C" w:rsidRDefault="005F13DE" w:rsidP="0093721A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</w:t>
      </w:r>
      <w:r w:rsidRPr="00B3394C">
        <w:rPr>
          <w:rFonts w:ascii="Times New Roman" w:hAnsi="Times New Roman" w:cs="Times New Roman"/>
          <w:sz w:val="28"/>
          <w:szCs w:val="28"/>
        </w:rPr>
        <w:t>я</w:t>
      </w:r>
      <w:r w:rsidRPr="00B3394C">
        <w:rPr>
          <w:rFonts w:ascii="Times New Roman" w:hAnsi="Times New Roman" w:cs="Times New Roman"/>
          <w:sz w:val="28"/>
          <w:szCs w:val="28"/>
        </w:rPr>
        <w:t>тельности и повседневной жизни (69 – 74%</w:t>
      </w:r>
      <w:r w:rsidR="00360FD2" w:rsidRPr="00B3394C">
        <w:rPr>
          <w:rFonts w:ascii="Times New Roman" w:hAnsi="Times New Roman" w:cs="Times New Roman"/>
          <w:sz w:val="28"/>
          <w:szCs w:val="28"/>
        </w:rPr>
        <w:t xml:space="preserve"> выполнения).</w:t>
      </w:r>
    </w:p>
    <w:p w:rsidR="00360FD2" w:rsidRDefault="00360FD2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цель изучения математики в старшей школе на базовом уровне (математика для жизни) является достигнутой.</w:t>
      </w:r>
    </w:p>
    <w:p w:rsidR="00360FD2" w:rsidRDefault="00360FD2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умения, проверяемые в рамках ДР-11-б, не освоены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полной мере. Особенно это касается следующих умений:</w:t>
      </w:r>
    </w:p>
    <w:p w:rsidR="00360FD2" w:rsidRPr="00B3394C" w:rsidRDefault="00360FD2" w:rsidP="0093721A">
      <w:pPr>
        <w:pStyle w:val="a6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t>выполнять действия с функциями (30,4% выполнения);</w:t>
      </w:r>
    </w:p>
    <w:p w:rsidR="00360FD2" w:rsidRPr="00B3394C" w:rsidRDefault="00360FD2" w:rsidP="0093721A">
      <w:pPr>
        <w:pStyle w:val="a6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t>строить и исследовать простейшие математические модели (36 - 48%  выполнения).</w:t>
      </w:r>
    </w:p>
    <w:p w:rsidR="00360FD2" w:rsidRDefault="00360FD2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Неоднозначные результаты продемонстрировали обучающиеся при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шении показательных уравнения и неравенств.</w:t>
      </w:r>
    </w:p>
    <w:p w:rsidR="00360FD2" w:rsidRDefault="00360FD2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задание №6 выполнили 75,1%  участников ДР-11-б.</w:t>
      </w:r>
    </w:p>
    <w:p w:rsidR="00360FD2" w:rsidRDefault="00360FD2" w:rsidP="0093721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44" t="39782" r="13037" b="4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DE" w:rsidRDefault="00360FD2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как задание №12 на решение показательных неравенств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 достаточно трудным: лишь 48,7% обучающихся его выполнили верно.</w:t>
      </w:r>
    </w:p>
    <w:p w:rsidR="00360FD2" w:rsidRDefault="00360FD2" w:rsidP="0093721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6850" cy="1657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76" t="27793" r="4755" b="2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5F" w:rsidRDefault="00B3394C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Проанализируем выполнение заданий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групп успеваемости.</w:t>
      </w:r>
    </w:p>
    <w:p w:rsidR="00B3394C" w:rsidRDefault="00B3394C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Школьники, получившие отметку «2»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 работы, не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освоения умений (66%) ни по одному контролируемому умению.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успешно они справлялись с заданиями №1 (47%) выполнения и №3 (56%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полнения), представляющие из себя задания, решаемые даже пятиклассниками.</w:t>
      </w:r>
    </w:p>
    <w:p w:rsidR="00B3394C" w:rsidRDefault="00B3394C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отличие от данной группы, обучающиеся, получившие «3» за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ДР-11-б, данные умения освоили на хорошем уровне (82,8% и 86,0%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нения). Приведем пример такого задания.</w:t>
      </w:r>
    </w:p>
    <w:p w:rsidR="00B3394C" w:rsidRDefault="00B3394C" w:rsidP="0093721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4450" cy="895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656" t="56483" r="5828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94C" w:rsidRDefault="00B3394C" w:rsidP="009372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успешно справляются «троечники» с заданиями №6 и №7 (72,7% и 68,1% выполнения). Содержание заданий было, например, таким:</w:t>
      </w:r>
    </w:p>
    <w:p w:rsidR="00CE033B" w:rsidRDefault="00B3394C" w:rsidP="00937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4450" cy="2438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503" t="15531" r="5982" b="1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94C" w:rsidRDefault="00CE033B" w:rsidP="0093721A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трудным для этой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оказалось задание №14, последнее в работе (22,4% выполнения), но, возможно, данный факт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именно его положением в тексте ДР.</w:t>
      </w:r>
    </w:p>
    <w:p w:rsidR="00CE033B" w:rsidRDefault="00CE033B" w:rsidP="0093721A">
      <w:pPr>
        <w:tabs>
          <w:tab w:val="left" w:pos="139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же заданием не справились и обучающиеся, получившие «4» за выполнение работы (57,0% выполнения). Приведем пример данного задания.</w:t>
      </w:r>
    </w:p>
    <w:p w:rsidR="00CE033B" w:rsidRDefault="00CE033B" w:rsidP="0093721A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8191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043" t="56948" r="5521" b="1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3B" w:rsidRDefault="00CE033B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более трудным оказалось для этой группы обучающихся задание №9, проверяющее умение работать с функциями и их графиками. С ним справ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только 44,0% «хорошистов».</w:t>
      </w:r>
    </w:p>
    <w:p w:rsidR="00CE033B" w:rsidRDefault="00CE033B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группа обучающихся, набравших за работу очень высокие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лы и получивших отметку «5», продемонстрировала освоение всех проверяемых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умений. Но и для них задание №9 оказалось выполненным хуже </w:t>
      </w:r>
      <w:r>
        <w:rPr>
          <w:rFonts w:ascii="Times New Roman" w:hAnsi="Times New Roman" w:cs="Times New Roman"/>
          <w:sz w:val="28"/>
          <w:szCs w:val="28"/>
        </w:rPr>
        <w:lastRenderedPageBreak/>
        <w:t>всего: лишь 81% обучающихся данной группы с ним справился. Средний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 выполнения остальных заданий работы в этой группе превышал 90%.</w:t>
      </w:r>
    </w:p>
    <w:p w:rsidR="00CE033B" w:rsidRDefault="00CE033B" w:rsidP="0093721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CE033B" w:rsidRDefault="00E415CB" w:rsidP="0093721A">
      <w:pPr>
        <w:pStyle w:val="a6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11-х классов, которые планируют сдавать ЕГЭ по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матике базового уровня, продемонстрировали удовлетворительный уровень готовности к экзамену. Процент успеваемости составил 87,3%, процент качества - 39,8%. Средняя отметка за выполнение ДР-11-б составила 3,34 балла по 5-балльной системе.</w:t>
      </w:r>
    </w:p>
    <w:p w:rsidR="00E415CB" w:rsidRDefault="00E415CB" w:rsidP="0093721A">
      <w:pPr>
        <w:pStyle w:val="a6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Продемонстрировано усвоение следующих умений на базовом уровне:</w:t>
      </w:r>
    </w:p>
    <w:p w:rsidR="00E415CB" w:rsidRPr="00B3394C" w:rsidRDefault="00E415CB" w:rsidP="0093721A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t>выполнять вычисления и преобразования (более 80% выполнения);</w:t>
      </w:r>
    </w:p>
    <w:p w:rsidR="00E415CB" w:rsidRDefault="00E415CB" w:rsidP="0093721A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</w:t>
      </w:r>
      <w:r w:rsidRPr="00B3394C">
        <w:rPr>
          <w:rFonts w:ascii="Times New Roman" w:hAnsi="Times New Roman" w:cs="Times New Roman"/>
          <w:sz w:val="28"/>
          <w:szCs w:val="28"/>
        </w:rPr>
        <w:t>я</w:t>
      </w:r>
      <w:r w:rsidRPr="00B3394C">
        <w:rPr>
          <w:rFonts w:ascii="Times New Roman" w:hAnsi="Times New Roman" w:cs="Times New Roman"/>
          <w:sz w:val="28"/>
          <w:szCs w:val="28"/>
        </w:rPr>
        <w:t>тельности и повседневной жизни (69 – 74% выполнения).</w:t>
      </w:r>
    </w:p>
    <w:p w:rsidR="00E415CB" w:rsidRPr="00E415CB" w:rsidRDefault="00E415CB" w:rsidP="0093721A">
      <w:pPr>
        <w:pStyle w:val="a6"/>
        <w:tabs>
          <w:tab w:val="left" w:pos="851"/>
        </w:tabs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обучающихся, получивших отметку «5» за выполнение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продемонстрировала освоение всех видов умений, проверя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в рамках ДР-11-б.</w:t>
      </w:r>
    </w:p>
    <w:p w:rsidR="00E415CB" w:rsidRDefault="00E415CB" w:rsidP="0093721A">
      <w:pPr>
        <w:pStyle w:val="a6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которые нуждаются в формировании:</w:t>
      </w:r>
    </w:p>
    <w:p w:rsidR="00E415CB" w:rsidRPr="00B3394C" w:rsidRDefault="00E415CB" w:rsidP="0093721A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t>выполнять действия с функциями (30,4% выполнения);</w:t>
      </w:r>
    </w:p>
    <w:p w:rsidR="00E415CB" w:rsidRDefault="00E415CB" w:rsidP="0093721A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94C">
        <w:rPr>
          <w:rFonts w:ascii="Times New Roman" w:hAnsi="Times New Roman" w:cs="Times New Roman"/>
          <w:sz w:val="28"/>
          <w:szCs w:val="28"/>
        </w:rPr>
        <w:t>строить и исследовать простейшие математические модели (36 - 48%  выполнения).</w:t>
      </w:r>
    </w:p>
    <w:p w:rsidR="00E415CB" w:rsidRPr="00B3394C" w:rsidRDefault="00E415CB" w:rsidP="0093721A">
      <w:pPr>
        <w:pStyle w:val="a6"/>
        <w:tabs>
          <w:tab w:val="left" w:pos="851"/>
        </w:tabs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получившие «2»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работу, не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воения ни по одному умению.</w:t>
      </w:r>
    </w:p>
    <w:p w:rsidR="00E415CB" w:rsidRDefault="00E415CB" w:rsidP="0093721A">
      <w:pPr>
        <w:pStyle w:val="a6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распределения результатов выполнения работы является аномальной, свидетельствует о завышении баллов на границе отметок «2» и «3», а также «3» и «4».</w:t>
      </w:r>
    </w:p>
    <w:p w:rsidR="00E415CB" w:rsidRDefault="00E415CB" w:rsidP="0093721A">
      <w:pPr>
        <w:pStyle w:val="a6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результаты выполнения работы свидетельствуют о наличии системы подготовки обучающихся 11-х классов к ЕГЭ базового уровня и её реализации в ОО Смоленской области.</w:t>
      </w:r>
    </w:p>
    <w:p w:rsidR="00E415CB" w:rsidRDefault="00E415CB" w:rsidP="0093721A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415CB" w:rsidRDefault="00E415CB" w:rsidP="0093721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выполнение работы каждым обучающимся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на основе поэлементного анализа, выявить пробелы и спланировать их ликвидацию. Особое внимание уделить коррекции результатов группы обучающихся, получивших за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нение работы 0 – </w:t>
      </w:r>
      <w:r w:rsidR="00AD4D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баллов. С этой целью разработать для них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образовательные маршруты.</w:t>
      </w:r>
    </w:p>
    <w:p w:rsidR="00E415CB" w:rsidRDefault="00E415CB" w:rsidP="0093721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развитие математических умений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но справившихся с работой. Рекомендуется уделить </w:t>
      </w:r>
      <w:r w:rsidR="00AD4DA4">
        <w:rPr>
          <w:rFonts w:ascii="Times New Roman" w:hAnsi="Times New Roman" w:cs="Times New Roman"/>
          <w:sz w:val="28"/>
          <w:szCs w:val="28"/>
        </w:rPr>
        <w:t>особое внимание формированию и развитию умений работать с функциями и их граф</w:t>
      </w:r>
      <w:r w:rsidR="00AD4DA4">
        <w:rPr>
          <w:rFonts w:ascii="Times New Roman" w:hAnsi="Times New Roman" w:cs="Times New Roman"/>
          <w:sz w:val="28"/>
          <w:szCs w:val="28"/>
        </w:rPr>
        <w:t>и</w:t>
      </w:r>
      <w:r w:rsidR="00AD4DA4">
        <w:rPr>
          <w:rFonts w:ascii="Times New Roman" w:hAnsi="Times New Roman" w:cs="Times New Roman"/>
          <w:sz w:val="28"/>
          <w:szCs w:val="28"/>
        </w:rPr>
        <w:lastRenderedPageBreak/>
        <w:t>ками, а также знанию элементов комбинаторики и теории вероятн</w:t>
      </w:r>
      <w:r w:rsidR="00AD4DA4">
        <w:rPr>
          <w:rFonts w:ascii="Times New Roman" w:hAnsi="Times New Roman" w:cs="Times New Roman"/>
          <w:sz w:val="28"/>
          <w:szCs w:val="28"/>
        </w:rPr>
        <w:t>о</w:t>
      </w:r>
      <w:r w:rsidR="00AD4DA4">
        <w:rPr>
          <w:rFonts w:ascii="Times New Roman" w:hAnsi="Times New Roman" w:cs="Times New Roman"/>
          <w:sz w:val="28"/>
          <w:szCs w:val="28"/>
        </w:rPr>
        <w:t>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5CB" w:rsidRPr="009C777F" w:rsidRDefault="00E415CB" w:rsidP="0093721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повторную диагностическую работу внутри образовательной организации в январе – феврале, заменив варианты, в целях отслеж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 динамики. Внимание также уделить объективности полученных данных.</w:t>
      </w:r>
    </w:p>
    <w:p w:rsidR="00E415CB" w:rsidRPr="00E415CB" w:rsidRDefault="00E415CB" w:rsidP="0093721A">
      <w:pPr>
        <w:pStyle w:val="a6"/>
        <w:tabs>
          <w:tab w:val="left" w:pos="0"/>
        </w:tabs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sectPr w:rsidR="00E415CB" w:rsidRPr="00E415CB" w:rsidSect="001715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8C1"/>
    <w:multiLevelType w:val="hybridMultilevel"/>
    <w:tmpl w:val="6A88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133E8"/>
    <w:multiLevelType w:val="hybridMultilevel"/>
    <w:tmpl w:val="C5328840"/>
    <w:lvl w:ilvl="0" w:tplc="0818E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CE78E8"/>
    <w:multiLevelType w:val="hybridMultilevel"/>
    <w:tmpl w:val="561C0C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396082"/>
    <w:multiLevelType w:val="hybridMultilevel"/>
    <w:tmpl w:val="4E9AE950"/>
    <w:lvl w:ilvl="0" w:tplc="5EA69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6F0EBA"/>
    <w:multiLevelType w:val="hybridMultilevel"/>
    <w:tmpl w:val="730292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B93771D"/>
    <w:multiLevelType w:val="hybridMultilevel"/>
    <w:tmpl w:val="83BE9162"/>
    <w:lvl w:ilvl="0" w:tplc="D7D0D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71569"/>
    <w:rsid w:val="00171569"/>
    <w:rsid w:val="002131D9"/>
    <w:rsid w:val="00360FD2"/>
    <w:rsid w:val="00476E00"/>
    <w:rsid w:val="005A770E"/>
    <w:rsid w:val="005F13DE"/>
    <w:rsid w:val="00605E54"/>
    <w:rsid w:val="0089575F"/>
    <w:rsid w:val="0093721A"/>
    <w:rsid w:val="009B12DA"/>
    <w:rsid w:val="00AB45E4"/>
    <w:rsid w:val="00AD4DA4"/>
    <w:rsid w:val="00B3394C"/>
    <w:rsid w:val="00BE592D"/>
    <w:rsid w:val="00C63D44"/>
    <w:rsid w:val="00CE033B"/>
    <w:rsid w:val="00E415CB"/>
    <w:rsid w:val="00F5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1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77;&#1083;&#1072;&#1090;&#1100;\&#1044;&#1056;_11%20&#107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77;&#1083;&#1072;&#1090;&#1100;\&#1044;&#1056;_11%20&#107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980714850641481"/>
          <c:y val="0.25636217472165834"/>
          <c:w val="0.55958861270125049"/>
          <c:h val="0.65633747801236852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7.0267188159096772E-2"/>
                  <c:y val="-3.279908449114464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8.9323763734255504E-2"/>
                  <c:y val="-9.02378212020499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-4.6896414297325488E-2"/>
                  <c:y val="-1.433664242379553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-4.8782293877193052E-2"/>
                  <c:y val="-2.22400271501302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'Осн_11 б'!$AO$2:$AR$2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'Осн_11 б'!$AO$3:$AR$3</c:f>
              <c:numCache>
                <c:formatCode>0.0%</c:formatCode>
                <c:ptCount val="4"/>
                <c:pt idx="0">
                  <c:v>0.12723335138061723</c:v>
                </c:pt>
                <c:pt idx="1">
                  <c:v>0.47482403898213332</c:v>
                </c:pt>
                <c:pt idx="2">
                  <c:v>0.32485110990795907</c:v>
                </c:pt>
                <c:pt idx="3">
                  <c:v>7.3091499729290771E-2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812624197169154"/>
          <c:y val="0.35633271766955105"/>
          <c:w val="0.12017362170813936"/>
          <c:h val="0.26966384757460882"/>
        </c:manualLayout>
      </c:layout>
    </c:legend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'Осн_11 б'!$BB$3:$BB$17</c:f>
              <c:strCache>
                <c:ptCount val="15"/>
                <c:pt idx="0">
                  <c:v>0  баллов</c:v>
                </c:pt>
                <c:pt idx="1">
                  <c:v>1  баллов</c:v>
                </c:pt>
                <c:pt idx="2">
                  <c:v>2  баллов</c:v>
                </c:pt>
                <c:pt idx="3">
                  <c:v>3  баллов</c:v>
                </c:pt>
                <c:pt idx="4">
                  <c:v>4  баллов</c:v>
                </c:pt>
                <c:pt idx="5">
                  <c:v>5  баллов</c:v>
                </c:pt>
                <c:pt idx="6">
                  <c:v>6  баллов</c:v>
                </c:pt>
                <c:pt idx="7">
                  <c:v>7  баллов</c:v>
                </c:pt>
                <c:pt idx="8">
                  <c:v>8  баллов</c:v>
                </c:pt>
                <c:pt idx="9">
                  <c:v>9  баллов</c:v>
                </c:pt>
                <c:pt idx="10">
                  <c:v>10  баллов</c:v>
                </c:pt>
                <c:pt idx="11">
                  <c:v>11  баллов</c:v>
                </c:pt>
                <c:pt idx="12">
                  <c:v>12  баллов</c:v>
                </c:pt>
                <c:pt idx="13">
                  <c:v>13  баллов</c:v>
                </c:pt>
                <c:pt idx="14">
                  <c:v>14  баллов</c:v>
                </c:pt>
              </c:strCache>
            </c:strRef>
          </c:cat>
          <c:val>
            <c:numRef>
              <c:f>'Осн_11 б'!$BC$3:$BC$17</c:f>
              <c:numCache>
                <c:formatCode>0.0%</c:formatCode>
                <c:ptCount val="15"/>
                <c:pt idx="0">
                  <c:v>3.2485110990795917E-3</c:v>
                </c:pt>
                <c:pt idx="1">
                  <c:v>1.028695181375204E-2</c:v>
                </c:pt>
                <c:pt idx="2">
                  <c:v>1.6242555495397965E-2</c:v>
                </c:pt>
                <c:pt idx="3">
                  <c:v>1.6783974011911226E-2</c:v>
                </c:pt>
                <c:pt idx="4">
                  <c:v>3.7899296155928561E-2</c:v>
                </c:pt>
                <c:pt idx="5">
                  <c:v>4.2772062804547935E-2</c:v>
                </c:pt>
                <c:pt idx="6">
                  <c:v>0.13535462912831617</c:v>
                </c:pt>
                <c:pt idx="7">
                  <c:v>0.13535462912831617</c:v>
                </c:pt>
                <c:pt idx="8">
                  <c:v>9.8538170005414247E-2</c:v>
                </c:pt>
                <c:pt idx="9">
                  <c:v>0.10557661072008667</c:v>
                </c:pt>
                <c:pt idx="10">
                  <c:v>0.13806172171088252</c:v>
                </c:pt>
                <c:pt idx="11">
                  <c:v>9.9621007038440748E-2</c:v>
                </c:pt>
                <c:pt idx="12">
                  <c:v>8.7168381158635636E-2</c:v>
                </c:pt>
                <c:pt idx="13">
                  <c:v>5.3600433134813261E-2</c:v>
                </c:pt>
                <c:pt idx="14">
                  <c:v>1.9491066594477538E-2</c:v>
                </c:pt>
              </c:numCache>
            </c:numRef>
          </c:val>
        </c:ser>
        <c:gapWidth val="75"/>
        <c:overlap val="-25"/>
        <c:axId val="84119552"/>
        <c:axId val="84121856"/>
      </c:barChart>
      <c:catAx>
        <c:axId val="841195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4121856"/>
        <c:crosses val="autoZero"/>
        <c:auto val="1"/>
        <c:lblAlgn val="ctr"/>
        <c:lblOffset val="100"/>
      </c:catAx>
      <c:valAx>
        <c:axId val="84121856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spPr>
          <a:ln w="9525">
            <a:noFill/>
          </a:ln>
        </c:spPr>
        <c:crossAx val="841195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Полина Владимировна</dc:creator>
  <cp:keywords/>
  <dc:description/>
  <cp:lastModifiedBy>Васинова</cp:lastModifiedBy>
  <cp:revision>8</cp:revision>
  <dcterms:created xsi:type="dcterms:W3CDTF">2019-12-19T09:50:00Z</dcterms:created>
  <dcterms:modified xsi:type="dcterms:W3CDTF">2020-07-24T06:52:00Z</dcterms:modified>
</cp:coreProperties>
</file>