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138"/>
      </w:tblGrid>
      <w:tr w:rsidR="00D47E00" w:rsidTr="00EA0903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Название"/>
            <w:id w:val="988129041"/>
            <w:placeholder>
              <w:docPart w:val="6F8FB4A5C5BE4716BD1B4C65BA13242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D47E00" w:rsidRPr="00D47E00" w:rsidRDefault="00D47E00" w:rsidP="00EA0903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D47E00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АНАЛИЗ РЕЗУЛЬТАТОВ</w:t>
                </w:r>
              </w:p>
            </w:tc>
          </w:sdtContent>
        </w:sdt>
      </w:tr>
      <w:tr w:rsidR="00D47E00" w:rsidTr="00EA0903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-1937504129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D47E00" w:rsidRPr="00D47E00" w:rsidRDefault="00D47E00" w:rsidP="00EA0903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D47E00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проведения диагностических работ для оценки 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                  </w:t>
                </w:r>
                <w:proofErr w:type="spellStart"/>
                <w:r w:rsidRPr="00D47E00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метапредметных</w:t>
                </w:r>
                <w:proofErr w:type="spellEnd"/>
                <w:r w:rsidRPr="00D47E00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результатов обучающихся 9-х классов</w:t>
                </w:r>
              </w:p>
            </w:tc>
          </w:sdtContent>
        </w:sdt>
      </w:tr>
    </w:tbl>
    <w:p w:rsidR="00D47E00" w:rsidRDefault="00D47E00" w:rsidP="00D47E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52CB" w:rsidRDefault="00D0052C" w:rsidP="00D00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2C">
        <w:rPr>
          <w:rFonts w:ascii="Times New Roman" w:hAnsi="Times New Roman" w:cs="Times New Roman"/>
          <w:sz w:val="28"/>
          <w:szCs w:val="28"/>
        </w:rPr>
        <w:t xml:space="preserve">Диагностическая работа для оценки </w:t>
      </w:r>
      <w:proofErr w:type="spellStart"/>
      <w:r w:rsidRPr="00D0052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0052C">
        <w:rPr>
          <w:rFonts w:ascii="Times New Roman" w:hAnsi="Times New Roman" w:cs="Times New Roman"/>
          <w:sz w:val="28"/>
          <w:szCs w:val="28"/>
        </w:rPr>
        <w:t xml:space="preserve"> результатов обуча</w:t>
      </w:r>
      <w:r w:rsidRPr="00D0052C">
        <w:rPr>
          <w:rFonts w:ascii="Times New Roman" w:hAnsi="Times New Roman" w:cs="Times New Roman"/>
          <w:sz w:val="28"/>
          <w:szCs w:val="28"/>
        </w:rPr>
        <w:t>ю</w:t>
      </w:r>
      <w:r w:rsidRPr="00D0052C">
        <w:rPr>
          <w:rFonts w:ascii="Times New Roman" w:hAnsi="Times New Roman" w:cs="Times New Roman"/>
          <w:sz w:val="28"/>
          <w:szCs w:val="28"/>
        </w:rPr>
        <w:t xml:space="preserve">щихся 9-х классов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на основании </w:t>
      </w:r>
      <w:r w:rsidRPr="00265B79">
        <w:rPr>
          <w:rFonts w:ascii="Times New Roman" w:hAnsi="Times New Roman" w:cs="Times New Roman"/>
          <w:sz w:val="28"/>
          <w:szCs w:val="28"/>
        </w:rPr>
        <w:t xml:space="preserve">приказа Департамента Смоленской области по образованию и науке </w:t>
      </w:r>
      <w:r w:rsidRPr="000E50AA">
        <w:rPr>
          <w:rFonts w:ascii="Times New Roman" w:hAnsi="Times New Roman" w:cs="Times New Roman"/>
          <w:sz w:val="28"/>
          <w:szCs w:val="28"/>
        </w:rPr>
        <w:t>от 08.10.2019 №</w:t>
      </w:r>
      <w:r>
        <w:rPr>
          <w:rFonts w:ascii="Times New Roman" w:hAnsi="Times New Roman" w:cs="Times New Roman"/>
          <w:sz w:val="28"/>
          <w:szCs w:val="28"/>
        </w:rPr>
        <w:t>844-ОД.</w:t>
      </w:r>
    </w:p>
    <w:p w:rsidR="00D0052C" w:rsidRDefault="00D0052C" w:rsidP="00D00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проведения: </w:t>
      </w:r>
      <w:r w:rsidRPr="00265B7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D47E00">
        <w:rPr>
          <w:rFonts w:ascii="Times New Roman" w:eastAsia="Times New Roman" w:hAnsi="Times New Roman"/>
          <w:sz w:val="28"/>
          <w:szCs w:val="28"/>
        </w:rPr>
        <w:t>уровня</w:t>
      </w:r>
      <w:r w:rsidRPr="00E805B2">
        <w:rPr>
          <w:rFonts w:ascii="Times New Roman" w:eastAsia="Times New Roman" w:hAnsi="Times New Roman"/>
          <w:sz w:val="28"/>
          <w:szCs w:val="28"/>
        </w:rPr>
        <w:t xml:space="preserve"> достижения </w:t>
      </w:r>
      <w:proofErr w:type="spellStart"/>
      <w:r w:rsidRPr="00E805B2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Pr="00E805B2">
        <w:rPr>
          <w:rFonts w:ascii="Times New Roman" w:eastAsia="Times New Roman" w:hAnsi="Times New Roman"/>
          <w:sz w:val="28"/>
          <w:szCs w:val="28"/>
        </w:rPr>
        <w:t xml:space="preserve"> резул</w:t>
      </w:r>
      <w:r w:rsidRPr="00E805B2">
        <w:rPr>
          <w:rFonts w:ascii="Times New Roman" w:eastAsia="Times New Roman" w:hAnsi="Times New Roman"/>
          <w:sz w:val="28"/>
          <w:szCs w:val="28"/>
        </w:rPr>
        <w:t>ь</w:t>
      </w:r>
      <w:r w:rsidRPr="00E805B2">
        <w:rPr>
          <w:rFonts w:ascii="Times New Roman" w:eastAsia="Times New Roman" w:hAnsi="Times New Roman"/>
          <w:sz w:val="28"/>
          <w:szCs w:val="28"/>
        </w:rPr>
        <w:t>татов освоения основной образовательной программы основного общего образ</w:t>
      </w:r>
      <w:r w:rsidRPr="00E805B2">
        <w:rPr>
          <w:rFonts w:ascii="Times New Roman" w:eastAsia="Times New Roman" w:hAnsi="Times New Roman"/>
          <w:sz w:val="28"/>
          <w:szCs w:val="28"/>
        </w:rPr>
        <w:t>о</w:t>
      </w:r>
      <w:r w:rsidRPr="00E805B2">
        <w:rPr>
          <w:rFonts w:ascii="Times New Roman" w:eastAsia="Times New Roman" w:hAnsi="Times New Roman"/>
          <w:sz w:val="28"/>
          <w:szCs w:val="28"/>
        </w:rPr>
        <w:t>вания</w:t>
      </w:r>
      <w:r w:rsidRPr="00265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2C" w:rsidRDefault="00D0052C" w:rsidP="00D00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8D2546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8D254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D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4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D2546">
        <w:rPr>
          <w:rFonts w:ascii="Times New Roman" w:hAnsi="Times New Roman" w:cs="Times New Roman"/>
          <w:sz w:val="28"/>
          <w:szCs w:val="28"/>
        </w:rPr>
        <w:t xml:space="preserve"> ум</w:t>
      </w:r>
      <w:r w:rsidR="008D2546">
        <w:rPr>
          <w:rFonts w:ascii="Times New Roman" w:hAnsi="Times New Roman" w:cs="Times New Roman"/>
          <w:sz w:val="28"/>
          <w:szCs w:val="28"/>
        </w:rPr>
        <w:t>е</w:t>
      </w:r>
      <w:r w:rsidR="008D2546">
        <w:rPr>
          <w:rFonts w:ascii="Times New Roman" w:hAnsi="Times New Roman" w:cs="Times New Roman"/>
          <w:sz w:val="28"/>
          <w:szCs w:val="28"/>
        </w:rPr>
        <w:t>ний обучающихся, а именно:</w:t>
      </w:r>
    </w:p>
    <w:p w:rsidR="008D2546" w:rsidRPr="008D2546" w:rsidRDefault="008D2546" w:rsidP="008D25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D2546">
        <w:rPr>
          <w:sz w:val="28"/>
          <w:szCs w:val="28"/>
        </w:rPr>
        <w:t>Ориентироваться в содержании текста, отвечать на вопросы, испол</w:t>
      </w:r>
      <w:r w:rsidRPr="008D2546">
        <w:rPr>
          <w:sz w:val="28"/>
          <w:szCs w:val="28"/>
        </w:rPr>
        <w:t>ь</w:t>
      </w:r>
      <w:r w:rsidRPr="008D2546">
        <w:rPr>
          <w:sz w:val="28"/>
          <w:szCs w:val="28"/>
        </w:rPr>
        <w:t>зуя явно заданную в тексте информацию</w:t>
      </w:r>
      <w:r>
        <w:rPr>
          <w:sz w:val="28"/>
          <w:szCs w:val="28"/>
        </w:rPr>
        <w:t>;</w:t>
      </w:r>
    </w:p>
    <w:p w:rsidR="008D2546" w:rsidRPr="008D2546" w:rsidRDefault="008D2546" w:rsidP="008D25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D2546">
        <w:rPr>
          <w:sz w:val="28"/>
          <w:szCs w:val="28"/>
        </w:rPr>
        <w:t>Интерпретировать информацию, отвечать на вопросы, используя н</w:t>
      </w:r>
      <w:r w:rsidRPr="008D2546">
        <w:rPr>
          <w:sz w:val="28"/>
          <w:szCs w:val="28"/>
        </w:rPr>
        <w:t>е</w:t>
      </w:r>
      <w:r w:rsidRPr="008D2546">
        <w:rPr>
          <w:sz w:val="28"/>
          <w:szCs w:val="28"/>
        </w:rPr>
        <w:t>явно заданную информацию</w:t>
      </w:r>
      <w:r>
        <w:rPr>
          <w:sz w:val="28"/>
          <w:szCs w:val="28"/>
        </w:rPr>
        <w:t>;</w:t>
      </w:r>
    </w:p>
    <w:p w:rsidR="008D2546" w:rsidRPr="008D2546" w:rsidRDefault="008D2546" w:rsidP="008D25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D2546">
        <w:rPr>
          <w:sz w:val="28"/>
          <w:szCs w:val="28"/>
        </w:rPr>
        <w:t>Преобразовывать модели из одной знаковой системы в другую (та</w:t>
      </w:r>
      <w:r w:rsidRPr="008D2546">
        <w:rPr>
          <w:sz w:val="28"/>
          <w:szCs w:val="28"/>
        </w:rPr>
        <w:t>б</w:t>
      </w:r>
      <w:r w:rsidRPr="008D2546">
        <w:rPr>
          <w:sz w:val="28"/>
          <w:szCs w:val="28"/>
        </w:rPr>
        <w:t>лицы, схемы, графики, диаграммы, рисунки и др.)</w:t>
      </w:r>
      <w:r>
        <w:rPr>
          <w:sz w:val="28"/>
          <w:szCs w:val="28"/>
        </w:rPr>
        <w:t>;</w:t>
      </w:r>
    </w:p>
    <w:p w:rsidR="008D2546" w:rsidRPr="008D2546" w:rsidRDefault="008D2546" w:rsidP="008D25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D2546">
        <w:rPr>
          <w:sz w:val="28"/>
          <w:szCs w:val="28"/>
        </w:rPr>
        <w:t>Использовать знаково-символические средства и модели при решении учебно-практических задач</w:t>
      </w:r>
      <w:r>
        <w:rPr>
          <w:sz w:val="28"/>
          <w:szCs w:val="28"/>
        </w:rPr>
        <w:t>;</w:t>
      </w:r>
    </w:p>
    <w:p w:rsidR="008D2546" w:rsidRPr="008D2546" w:rsidRDefault="008D2546" w:rsidP="008D25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D2546">
        <w:rPr>
          <w:sz w:val="28"/>
          <w:szCs w:val="28"/>
        </w:rPr>
        <w:t>Оценивать достоверность предложенной информации, строить оц</w:t>
      </w:r>
      <w:r w:rsidRPr="008D2546">
        <w:rPr>
          <w:sz w:val="28"/>
          <w:szCs w:val="28"/>
        </w:rPr>
        <w:t>е</w:t>
      </w:r>
      <w:r w:rsidRPr="008D2546">
        <w:rPr>
          <w:sz w:val="28"/>
          <w:szCs w:val="28"/>
        </w:rPr>
        <w:t>ночные суждения на основе текста.</w:t>
      </w:r>
    </w:p>
    <w:p w:rsidR="008D2546" w:rsidRDefault="008D2546" w:rsidP="00380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79">
        <w:rPr>
          <w:rFonts w:ascii="Times New Roman" w:hAnsi="Times New Roman" w:cs="Times New Roman"/>
          <w:sz w:val="28"/>
          <w:szCs w:val="28"/>
        </w:rPr>
        <w:t>Для проведения диагностик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5B79">
        <w:rPr>
          <w:rFonts w:ascii="Times New Roman" w:hAnsi="Times New Roman" w:cs="Times New Roman"/>
          <w:sz w:val="28"/>
          <w:szCs w:val="28"/>
        </w:rPr>
        <w:t xml:space="preserve"> разработаны контрольно-измерительные </w:t>
      </w:r>
      <w:proofErr w:type="gramStart"/>
      <w:r w:rsidRPr="00265B79">
        <w:rPr>
          <w:rFonts w:ascii="Times New Roman" w:hAnsi="Times New Roman" w:cs="Times New Roman"/>
          <w:sz w:val="28"/>
          <w:szCs w:val="28"/>
        </w:rPr>
        <w:t>мат</w:t>
      </w:r>
      <w:r w:rsidRPr="00265B79">
        <w:rPr>
          <w:rFonts w:ascii="Times New Roman" w:hAnsi="Times New Roman" w:cs="Times New Roman"/>
          <w:sz w:val="28"/>
          <w:szCs w:val="28"/>
        </w:rPr>
        <w:t>е</w:t>
      </w:r>
      <w:r w:rsidRPr="00265B79">
        <w:rPr>
          <w:rFonts w:ascii="Times New Roman" w:hAnsi="Times New Roman" w:cs="Times New Roman"/>
          <w:sz w:val="28"/>
          <w:szCs w:val="28"/>
        </w:rPr>
        <w:t xml:space="preserve">риалы, включающие тексты заданий в двух вариантах одинаковой сложности, спецификацию и кодификатор работы, ответы и критерии оценивания, а также шкалу перевода полученных обучающимися баллов в пятибалльную отметку. </w:t>
      </w:r>
      <w:proofErr w:type="gramEnd"/>
    </w:p>
    <w:p w:rsidR="008D2546" w:rsidRDefault="008D2546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2546">
        <w:rPr>
          <w:rFonts w:ascii="Times New Roman" w:hAnsi="Times New Roman" w:cs="Times New Roman"/>
          <w:sz w:val="28"/>
          <w:szCs w:val="28"/>
        </w:rPr>
        <w:t>Работа включала</w:t>
      </w:r>
      <w:r>
        <w:rPr>
          <w:rFonts w:ascii="Times New Roman" w:eastAsia="Times New Roman" w:hAnsi="Times New Roman"/>
          <w:sz w:val="28"/>
          <w:szCs w:val="28"/>
        </w:rPr>
        <w:t xml:space="preserve"> в себя текст и задания к нему. Общее количество заданий – 9, из них: 7 заданий базового уровня, 2 задания повышенного уровня. Работа включала задания разного типа представления ответа: 1 задание – закрытого типа с выбором ответа; 1 задание  - закрытого типа на восстановление последовател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ности; 1 задание – закрытого типа на вставку слов и словосочетаний; 1 задание  - открытого типа с кратким ответом; 5 заданий с развернутым ответом.</w:t>
      </w:r>
    </w:p>
    <w:p w:rsidR="008D2546" w:rsidRDefault="008D2546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Максимально возможный балл за выполнение работы составил 17 баллов. </w:t>
      </w:r>
    </w:p>
    <w:p w:rsidR="00A077BE" w:rsidRDefault="00A077BE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Работу выполняли 6954 девятиклассника из 315 образовательных организ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ций области.</w:t>
      </w:r>
    </w:p>
    <w:p w:rsidR="008D2546" w:rsidRDefault="008D2546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Результаты выполнения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9-х классов следующие.</w:t>
      </w:r>
    </w:p>
    <w:p w:rsidR="00A077BE" w:rsidRDefault="00A077BE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Средний процент выполнения работы составил 56,2%, средняя отметка 3,2. На диаграмме 1 представлен средний процент выполнения работы по админис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ративно-территориальным единицам (АТЕ).</w:t>
      </w:r>
    </w:p>
    <w:p w:rsidR="00A077BE" w:rsidRDefault="00A077BE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Диаграмма 1. Процент выполнения работы по АТЕ.</w:t>
      </w:r>
    </w:p>
    <w:p w:rsidR="00A077BE" w:rsidRDefault="00A077BE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75979" cy="6887073"/>
            <wp:effectExtent l="0" t="0" r="2476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77BE" w:rsidRDefault="00A077BE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Как видим, высокий процент выполнения работы получен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Глинковском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(64,2%),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</w:t>
      </w:r>
      <w:r w:rsidR="008D5DCC">
        <w:rPr>
          <w:rFonts w:ascii="Times New Roman" w:eastAsia="Times New Roman" w:hAnsi="Times New Roman"/>
          <w:sz w:val="28"/>
          <w:szCs w:val="28"/>
        </w:rPr>
        <w:t>ш</w:t>
      </w:r>
      <w:r>
        <w:rPr>
          <w:rFonts w:ascii="Times New Roman" w:eastAsia="Times New Roman" w:hAnsi="Times New Roman"/>
          <w:sz w:val="28"/>
          <w:szCs w:val="28"/>
        </w:rPr>
        <w:t>ичском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(61,2%) районах и г. Смоленске (60,4%). Наиболее низкие р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зультаты показали обучающиеся 9-х классов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(46,1%),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Духо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щинского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(46,3%)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Демидовского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(47,5%) районов. На диаграмме 2 сопоставл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ны процент выполнения работы в АТЕ и средний процент по области. Зелёным цветом выделен допустимый интервал отклонения.</w:t>
      </w:r>
    </w:p>
    <w:p w:rsidR="00A077BE" w:rsidRDefault="00A077BE" w:rsidP="003803C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Диаграмма 2. Отклонение среднего процента выполнения работы в АТЕ от среднего процента по области</w:t>
      </w:r>
    </w:p>
    <w:p w:rsidR="00A412C1" w:rsidRDefault="00A077BE" w:rsidP="00380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35853"/>
            <wp:effectExtent l="0" t="0" r="2222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12C1" w:rsidRDefault="00A412C1" w:rsidP="00380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 значимые различия результатов выполнения работы по АТЕ. Так, обучающиеся 9-х классов в муниципалитетах – лидерах получили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зультаты на 10 – 18%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их сверстники в районах с низкими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зультатами. Это свидетельствует о наличии статистически значимого расслоения обучающихся в зависимости от места жительства по качеству освоения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программ.</w:t>
      </w:r>
    </w:p>
    <w:p w:rsidR="00A412C1" w:rsidRDefault="00A412C1" w:rsidP="00380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за выполнение работы баллов, были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уровни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(далее – МПР) обучающимися 9-х классов. На диаграмме 3 показано распределение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уровням освоения МПР.</w:t>
      </w:r>
    </w:p>
    <w:p w:rsidR="008D2546" w:rsidRDefault="00A412C1" w:rsidP="00380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3. Распределение обучающихся 9-х классов по уровням осво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DC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D5DCC">
        <w:rPr>
          <w:rFonts w:ascii="Times New Roman" w:hAnsi="Times New Roman" w:cs="Times New Roman"/>
          <w:sz w:val="28"/>
          <w:szCs w:val="28"/>
        </w:rPr>
        <w:t>метапредм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5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577D60" w:rsidRDefault="00A412C1" w:rsidP="00380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38575" cy="31146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0FB6" w:rsidRDefault="00577D60" w:rsidP="003803C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представленной диаграммы, большинство девятиклассн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 продемонстрировало успешное освоение МПР: суммарно 85% обучающихся 9-х классов показали базовый и повышенный уровень освоения. </w:t>
      </w:r>
      <w:r w:rsidR="00A50FB6">
        <w:rPr>
          <w:rFonts w:ascii="Times New Roman" w:hAnsi="Times New Roman" w:cs="Times New Roman"/>
          <w:sz w:val="28"/>
          <w:szCs w:val="28"/>
        </w:rPr>
        <w:t xml:space="preserve">Такой результат свидетельствует о наличие в образовательных организациях Смоленской области системы формирования </w:t>
      </w:r>
      <w:proofErr w:type="spellStart"/>
      <w:r w:rsidR="00A50FB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50FB6">
        <w:rPr>
          <w:rFonts w:ascii="Times New Roman" w:hAnsi="Times New Roman" w:cs="Times New Roman"/>
          <w:sz w:val="28"/>
          <w:szCs w:val="28"/>
        </w:rPr>
        <w:t xml:space="preserve"> результатов на уровне основного общего образования.</w:t>
      </w:r>
    </w:p>
    <w:p w:rsidR="00A412C1" w:rsidRDefault="00577D60" w:rsidP="003803CC">
      <w:pPr>
        <w:tabs>
          <w:tab w:val="left" w:pos="12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15% обучающихся имеют явные проблемы в усвоении МПР,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чём, 0 баллов за работу получили 0,5% обучающихся (38 человек), 1 балл –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мерно столько же (34 человека). Ученики, продемонстрировавшие крайне низкие результаты освоения МПР, имеют сложности и в освоении программ по учебным предметам. Низкие результаты освоения МПР также позволяют сделать неблаг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приятный прогноз обучения этой группы школьников в старшей школе.</w:t>
      </w:r>
      <w:r w:rsidR="00A50FB6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A50FB6">
        <w:rPr>
          <w:rFonts w:ascii="Times New Roman" w:hAnsi="Times New Roman" w:cs="Times New Roman"/>
          <w:sz w:val="28"/>
          <w:szCs w:val="28"/>
        </w:rPr>
        <w:t>о</w:t>
      </w:r>
      <w:r w:rsidR="00A50FB6">
        <w:rPr>
          <w:rFonts w:ascii="Times New Roman" w:hAnsi="Times New Roman" w:cs="Times New Roman"/>
          <w:sz w:val="28"/>
          <w:szCs w:val="28"/>
        </w:rPr>
        <w:t>вательным организациям необходимо проанализировать выполнение работы ка</w:t>
      </w:r>
      <w:r w:rsidR="00A50FB6">
        <w:rPr>
          <w:rFonts w:ascii="Times New Roman" w:hAnsi="Times New Roman" w:cs="Times New Roman"/>
          <w:sz w:val="28"/>
          <w:szCs w:val="28"/>
        </w:rPr>
        <w:t>ж</w:t>
      </w:r>
      <w:r w:rsidR="00A50FB6">
        <w:rPr>
          <w:rFonts w:ascii="Times New Roman" w:hAnsi="Times New Roman" w:cs="Times New Roman"/>
          <w:sz w:val="28"/>
          <w:szCs w:val="28"/>
        </w:rPr>
        <w:t>дым обучающимся, показавшим низкий результат, разработать и реализовать пр</w:t>
      </w:r>
      <w:r w:rsidR="00A50FB6">
        <w:rPr>
          <w:rFonts w:ascii="Times New Roman" w:hAnsi="Times New Roman" w:cs="Times New Roman"/>
          <w:sz w:val="28"/>
          <w:szCs w:val="28"/>
        </w:rPr>
        <w:t>о</w:t>
      </w:r>
      <w:r w:rsidR="00A50FB6">
        <w:rPr>
          <w:rFonts w:ascii="Times New Roman" w:hAnsi="Times New Roman" w:cs="Times New Roman"/>
          <w:sz w:val="28"/>
          <w:szCs w:val="28"/>
        </w:rPr>
        <w:t>грамму коррекции результатов.</w:t>
      </w:r>
    </w:p>
    <w:p w:rsidR="00157B83" w:rsidRDefault="00157B83" w:rsidP="003803CC">
      <w:pPr>
        <w:tabs>
          <w:tab w:val="left" w:pos="12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набранным за выполнение работы баллам представлено на диаграмме 4.</w:t>
      </w:r>
    </w:p>
    <w:p w:rsidR="00C70BE6" w:rsidRDefault="00C70BE6" w:rsidP="00380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7B83" w:rsidRDefault="00157B83" w:rsidP="003803CC">
      <w:pPr>
        <w:tabs>
          <w:tab w:val="left" w:pos="12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4. Распределение обучающихся по </w:t>
      </w:r>
      <w:r w:rsidR="00A20493">
        <w:rPr>
          <w:rFonts w:ascii="Times New Roman" w:hAnsi="Times New Roman" w:cs="Times New Roman"/>
          <w:sz w:val="28"/>
          <w:szCs w:val="28"/>
        </w:rPr>
        <w:t xml:space="preserve">количеству </w:t>
      </w:r>
      <w:r>
        <w:rPr>
          <w:rFonts w:ascii="Times New Roman" w:hAnsi="Times New Roman" w:cs="Times New Roman"/>
          <w:sz w:val="28"/>
          <w:szCs w:val="28"/>
        </w:rPr>
        <w:t>набранны</w:t>
      </w:r>
      <w:r w:rsidR="00A2049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493">
        <w:rPr>
          <w:rFonts w:ascii="Times New Roman" w:hAnsi="Times New Roman" w:cs="Times New Roman"/>
          <w:sz w:val="28"/>
          <w:szCs w:val="28"/>
        </w:rPr>
        <w:t xml:space="preserve">за выполнение работы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A20493">
        <w:rPr>
          <w:rFonts w:ascii="Times New Roman" w:hAnsi="Times New Roman" w:cs="Times New Roman"/>
          <w:sz w:val="28"/>
          <w:szCs w:val="28"/>
        </w:rPr>
        <w:t>ов</w:t>
      </w:r>
    </w:p>
    <w:p w:rsidR="00157B83" w:rsidRDefault="00157B83" w:rsidP="003803C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15075" cy="28384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B83" w:rsidRDefault="00157B83" w:rsidP="003803C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Диаграмма показывает необъективность полученных результатов, о чём свидетельствуют локальные максимумы распределения на границе пониженного и базового уровней (7 баллов), а также базового и повышенного уровней (12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лов). Это связано с искусственным завышением баллов, стремлением повысить полученный балл для фиксации более высокого уровня, чем продемонстрировал обучающийся. К сожалению</w:t>
      </w:r>
      <w:r w:rsidR="00446254">
        <w:rPr>
          <w:rFonts w:ascii="Times New Roman" w:hAnsi="Times New Roman" w:cs="Times New Roman"/>
          <w:sz w:val="28"/>
          <w:szCs w:val="28"/>
        </w:rPr>
        <w:t>, данная тенденция характерна и для результатов др</w:t>
      </w:r>
      <w:r w:rsidR="00446254">
        <w:rPr>
          <w:rFonts w:ascii="Times New Roman" w:hAnsi="Times New Roman" w:cs="Times New Roman"/>
          <w:sz w:val="28"/>
          <w:szCs w:val="28"/>
        </w:rPr>
        <w:t>у</w:t>
      </w:r>
      <w:r w:rsidR="00446254">
        <w:rPr>
          <w:rFonts w:ascii="Times New Roman" w:hAnsi="Times New Roman" w:cs="Times New Roman"/>
          <w:sz w:val="28"/>
          <w:szCs w:val="28"/>
        </w:rPr>
        <w:t>гих региональных диагностик качества образования. Однако в преддверии пров</w:t>
      </w:r>
      <w:r w:rsidR="00446254">
        <w:rPr>
          <w:rFonts w:ascii="Times New Roman" w:hAnsi="Times New Roman" w:cs="Times New Roman"/>
          <w:sz w:val="28"/>
          <w:szCs w:val="28"/>
        </w:rPr>
        <w:t>е</w:t>
      </w:r>
      <w:r w:rsidR="00446254">
        <w:rPr>
          <w:rFonts w:ascii="Times New Roman" w:hAnsi="Times New Roman" w:cs="Times New Roman"/>
          <w:sz w:val="28"/>
          <w:szCs w:val="28"/>
        </w:rPr>
        <w:t xml:space="preserve">дения международного тестирования </w:t>
      </w:r>
      <w:r w:rsidR="00446254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446254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след</w:t>
      </w:r>
      <w:r w:rsidR="00446254">
        <w:rPr>
          <w:rFonts w:ascii="Times New Roman" w:hAnsi="Times New Roman" w:cs="Times New Roman"/>
          <w:sz w:val="28"/>
          <w:szCs w:val="28"/>
        </w:rPr>
        <w:t>у</w:t>
      </w:r>
      <w:r w:rsidR="00446254">
        <w:rPr>
          <w:rFonts w:ascii="Times New Roman" w:hAnsi="Times New Roman" w:cs="Times New Roman"/>
          <w:sz w:val="28"/>
          <w:szCs w:val="28"/>
        </w:rPr>
        <w:t>ет обратить внимание на формирование функциональной грамотности школьн</w:t>
      </w:r>
      <w:r w:rsidR="00446254">
        <w:rPr>
          <w:rFonts w:ascii="Times New Roman" w:hAnsi="Times New Roman" w:cs="Times New Roman"/>
          <w:sz w:val="28"/>
          <w:szCs w:val="28"/>
        </w:rPr>
        <w:t>и</w:t>
      </w:r>
      <w:r w:rsidR="00446254">
        <w:rPr>
          <w:rFonts w:ascii="Times New Roman" w:hAnsi="Times New Roman" w:cs="Times New Roman"/>
          <w:sz w:val="28"/>
          <w:szCs w:val="28"/>
        </w:rPr>
        <w:t>ков, а не на искусственное завышение отметок.</w:t>
      </w:r>
    </w:p>
    <w:p w:rsidR="00446254" w:rsidRDefault="00446254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заданий работы.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 включала 9 заданий, из которых №№ 1 – 7 – базового уровня сложности, 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дания №№ 8, 9 – повышенного уровня. Кроме того, </w:t>
      </w:r>
      <w:r w:rsidR="000043CE">
        <w:rPr>
          <w:rFonts w:ascii="Times New Roman" w:hAnsi="Times New Roman" w:cs="Times New Roman"/>
          <w:sz w:val="28"/>
          <w:szCs w:val="28"/>
        </w:rPr>
        <w:t>задания №№ 1 – 4 и №7 оц</w:t>
      </w:r>
      <w:r w:rsidR="000043CE">
        <w:rPr>
          <w:rFonts w:ascii="Times New Roman" w:hAnsi="Times New Roman" w:cs="Times New Roman"/>
          <w:sz w:val="28"/>
          <w:szCs w:val="28"/>
        </w:rPr>
        <w:t>е</w:t>
      </w:r>
      <w:r w:rsidR="000043CE">
        <w:rPr>
          <w:rFonts w:ascii="Times New Roman" w:hAnsi="Times New Roman" w:cs="Times New Roman"/>
          <w:sz w:val="28"/>
          <w:szCs w:val="28"/>
        </w:rPr>
        <w:t>нивались по дихотомической шкале (0 – 1 балл), а задания №№ 5, 6, 8, 9 – исходя из максимальных 3 баллов. Поэтому школьники могли частично выполнить зад</w:t>
      </w:r>
      <w:r w:rsidR="000043CE">
        <w:rPr>
          <w:rFonts w:ascii="Times New Roman" w:hAnsi="Times New Roman" w:cs="Times New Roman"/>
          <w:sz w:val="28"/>
          <w:szCs w:val="28"/>
        </w:rPr>
        <w:t>а</w:t>
      </w:r>
      <w:r w:rsidR="000043CE">
        <w:rPr>
          <w:rFonts w:ascii="Times New Roman" w:hAnsi="Times New Roman" w:cs="Times New Roman"/>
          <w:sz w:val="28"/>
          <w:szCs w:val="28"/>
        </w:rPr>
        <w:t>ния №№ 5, 6, 8, 9, получив за них 1 или 2 балла. На диаграмме 5 представлены р</w:t>
      </w:r>
      <w:r w:rsidR="000043CE">
        <w:rPr>
          <w:rFonts w:ascii="Times New Roman" w:hAnsi="Times New Roman" w:cs="Times New Roman"/>
          <w:sz w:val="28"/>
          <w:szCs w:val="28"/>
        </w:rPr>
        <w:t>е</w:t>
      </w:r>
      <w:r w:rsidR="000043CE">
        <w:rPr>
          <w:rFonts w:ascii="Times New Roman" w:hAnsi="Times New Roman" w:cs="Times New Roman"/>
          <w:sz w:val="28"/>
          <w:szCs w:val="28"/>
        </w:rPr>
        <w:t>зультаты выполнения обучающимися 9-х классов заданий диагностической раб</w:t>
      </w:r>
      <w:r w:rsidR="000043CE">
        <w:rPr>
          <w:rFonts w:ascii="Times New Roman" w:hAnsi="Times New Roman" w:cs="Times New Roman"/>
          <w:sz w:val="28"/>
          <w:szCs w:val="28"/>
        </w:rPr>
        <w:t>о</w:t>
      </w:r>
      <w:r w:rsidR="000043CE">
        <w:rPr>
          <w:rFonts w:ascii="Times New Roman" w:hAnsi="Times New Roman" w:cs="Times New Roman"/>
          <w:sz w:val="28"/>
          <w:szCs w:val="28"/>
        </w:rPr>
        <w:t>ты.</w:t>
      </w:r>
    </w:p>
    <w:p w:rsidR="00C70BE6" w:rsidRDefault="00C70BE6" w:rsidP="00380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43CE" w:rsidRDefault="000043CE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5. Процент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заданий диагностич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работы.</w:t>
      </w:r>
    </w:p>
    <w:p w:rsidR="000043CE" w:rsidRPr="00446254" w:rsidRDefault="000043CE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48325" cy="37814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7B83" w:rsidRDefault="000043CE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заданий базового уровня процент усвоения умений составляет 67%. Поэтому на основании представленной диаграммы можно сделать заключение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у обучающихся 9-х классов:</w:t>
      </w:r>
    </w:p>
    <w:p w:rsidR="000043CE" w:rsidRPr="00FD018E" w:rsidRDefault="000043CE" w:rsidP="003803CC">
      <w:pPr>
        <w:pStyle w:val="a7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FD018E">
        <w:rPr>
          <w:sz w:val="28"/>
          <w:szCs w:val="28"/>
        </w:rPr>
        <w:t>Ориентироваться в содержании текста, отвечать на вопросы, испол</w:t>
      </w:r>
      <w:r w:rsidRPr="00FD018E">
        <w:rPr>
          <w:sz w:val="28"/>
          <w:szCs w:val="28"/>
        </w:rPr>
        <w:t>ь</w:t>
      </w:r>
      <w:r w:rsidRPr="00FD018E">
        <w:rPr>
          <w:sz w:val="28"/>
          <w:szCs w:val="28"/>
        </w:rPr>
        <w:t>зуя явно заданную в тексте информацию (средний процент выполн</w:t>
      </w:r>
      <w:r w:rsidRPr="00FD018E">
        <w:rPr>
          <w:sz w:val="28"/>
          <w:szCs w:val="28"/>
        </w:rPr>
        <w:t>е</w:t>
      </w:r>
      <w:r w:rsidRPr="00FD018E">
        <w:rPr>
          <w:sz w:val="28"/>
          <w:szCs w:val="28"/>
        </w:rPr>
        <w:t>ния 81 – 92%)</w:t>
      </w:r>
      <w:r w:rsidR="00FD018E" w:rsidRPr="00FD018E">
        <w:rPr>
          <w:sz w:val="28"/>
          <w:szCs w:val="28"/>
        </w:rPr>
        <w:t>;</w:t>
      </w:r>
    </w:p>
    <w:p w:rsidR="00FD018E" w:rsidRPr="00FD018E" w:rsidRDefault="00FD018E" w:rsidP="003803CC">
      <w:pPr>
        <w:pStyle w:val="a7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FD018E">
        <w:rPr>
          <w:sz w:val="28"/>
          <w:szCs w:val="28"/>
        </w:rPr>
        <w:t>Преобразовывать модели из одной знаковой системы в другую (та</w:t>
      </w:r>
      <w:r w:rsidRPr="00FD018E">
        <w:rPr>
          <w:sz w:val="28"/>
          <w:szCs w:val="28"/>
        </w:rPr>
        <w:t>б</w:t>
      </w:r>
      <w:r w:rsidRPr="00FD018E">
        <w:rPr>
          <w:sz w:val="28"/>
          <w:szCs w:val="28"/>
        </w:rPr>
        <w:t>лицы, схемы, графики, диаграммы, рисунки и др.)</w:t>
      </w:r>
      <w:r w:rsidR="00B45133">
        <w:rPr>
          <w:sz w:val="28"/>
          <w:szCs w:val="28"/>
        </w:rPr>
        <w:t xml:space="preserve"> </w:t>
      </w:r>
      <w:r w:rsidRPr="00FD018E">
        <w:rPr>
          <w:sz w:val="28"/>
          <w:szCs w:val="28"/>
        </w:rPr>
        <w:t xml:space="preserve">(средний процент выполнения </w:t>
      </w:r>
      <w:r w:rsidR="0013557A">
        <w:rPr>
          <w:sz w:val="28"/>
          <w:szCs w:val="28"/>
        </w:rPr>
        <w:t>28</w:t>
      </w:r>
      <w:r w:rsidRPr="00FD018E">
        <w:rPr>
          <w:sz w:val="28"/>
          <w:szCs w:val="28"/>
        </w:rPr>
        <w:t xml:space="preserve"> – 78%).</w:t>
      </w:r>
    </w:p>
    <w:p w:rsidR="00B45133" w:rsidRDefault="00B45133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простым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оказалось задание №4 на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последовательности, явно указанной в тексте. С ним справились 92% девят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классников, причём процент выполнения оказался высоким как для группы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с пониженным уровнем освоения МПР, так и для остальных 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ков. Несколько хуже, но также достаточно уверенно обучающиеся выполнили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 на вставки пропущенных слов (словосочетаний) из текста (86%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ния), а также составление определения (81% выполнения) и выбор наиболее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описания термина (84% выполнения).</w:t>
      </w:r>
    </w:p>
    <w:p w:rsidR="00B45133" w:rsidRDefault="00B45133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успешно обучающиеся справились с заданием №5 на заполнение таблицы на основе сплошного текста (78% выполнения). </w:t>
      </w:r>
      <w:r w:rsidR="0013557A">
        <w:rPr>
          <w:rFonts w:ascii="Times New Roman" w:hAnsi="Times New Roman" w:cs="Times New Roman"/>
          <w:sz w:val="28"/>
          <w:szCs w:val="28"/>
        </w:rPr>
        <w:t>Трудности вызвало зад</w:t>
      </w:r>
      <w:r w:rsidR="0013557A">
        <w:rPr>
          <w:rFonts w:ascii="Times New Roman" w:hAnsi="Times New Roman" w:cs="Times New Roman"/>
          <w:sz w:val="28"/>
          <w:szCs w:val="28"/>
        </w:rPr>
        <w:t>а</w:t>
      </w:r>
      <w:r w:rsidR="0013557A">
        <w:rPr>
          <w:rFonts w:ascii="Times New Roman" w:hAnsi="Times New Roman" w:cs="Times New Roman"/>
          <w:sz w:val="28"/>
          <w:szCs w:val="28"/>
        </w:rPr>
        <w:t>ние на определение коэффициента пропорциональности при решении учебно-практической задачи (28% выполнения), хотя данное умение формируется как предметное при изучении физики и математики. Однако</w:t>
      </w:r>
      <w:proofErr w:type="gramStart"/>
      <w:r w:rsidR="001355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57A">
        <w:rPr>
          <w:rFonts w:ascii="Times New Roman" w:hAnsi="Times New Roman" w:cs="Times New Roman"/>
          <w:sz w:val="28"/>
          <w:szCs w:val="28"/>
        </w:rPr>
        <w:t xml:space="preserve"> большинство учащихся не смогли его продемонстрировать в ситуации с неопределённым явно предме</w:t>
      </w:r>
      <w:r w:rsidR="0013557A">
        <w:rPr>
          <w:rFonts w:ascii="Times New Roman" w:hAnsi="Times New Roman" w:cs="Times New Roman"/>
          <w:sz w:val="28"/>
          <w:szCs w:val="28"/>
        </w:rPr>
        <w:t>т</w:t>
      </w:r>
      <w:r w:rsidR="0013557A">
        <w:rPr>
          <w:rFonts w:ascii="Times New Roman" w:hAnsi="Times New Roman" w:cs="Times New Roman"/>
          <w:sz w:val="28"/>
          <w:szCs w:val="28"/>
        </w:rPr>
        <w:t>ным контекстом.</w:t>
      </w:r>
    </w:p>
    <w:p w:rsidR="00FD018E" w:rsidRPr="00FD018E" w:rsidRDefault="00FD018E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18E">
        <w:rPr>
          <w:rFonts w:ascii="Times New Roman" w:hAnsi="Times New Roman" w:cs="Times New Roman"/>
          <w:sz w:val="28"/>
          <w:szCs w:val="28"/>
        </w:rPr>
        <w:t>Не усвоены на базовом уровне умения:</w:t>
      </w:r>
    </w:p>
    <w:p w:rsidR="00FD018E" w:rsidRPr="009E4353" w:rsidRDefault="00FD018E" w:rsidP="003803CC">
      <w:pPr>
        <w:pStyle w:val="a7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9E4353">
        <w:rPr>
          <w:sz w:val="28"/>
          <w:szCs w:val="28"/>
        </w:rPr>
        <w:t>Использовать знаково-символических средства и модели при реш</w:t>
      </w:r>
      <w:r w:rsidRPr="009E4353">
        <w:rPr>
          <w:sz w:val="28"/>
          <w:szCs w:val="28"/>
        </w:rPr>
        <w:t>е</w:t>
      </w:r>
      <w:r w:rsidRPr="009E4353">
        <w:rPr>
          <w:sz w:val="28"/>
          <w:szCs w:val="28"/>
        </w:rPr>
        <w:t>нии учебно-практических задач (32,8% выполнения);</w:t>
      </w:r>
    </w:p>
    <w:p w:rsidR="00FD018E" w:rsidRPr="009E4353" w:rsidRDefault="00FD018E" w:rsidP="003803CC">
      <w:pPr>
        <w:pStyle w:val="a7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9E4353">
        <w:rPr>
          <w:sz w:val="28"/>
          <w:szCs w:val="28"/>
        </w:rPr>
        <w:t>Интерпретировать информацию, отвечать на вопросы, используя н</w:t>
      </w:r>
      <w:r w:rsidRPr="009E4353">
        <w:rPr>
          <w:sz w:val="28"/>
          <w:szCs w:val="28"/>
        </w:rPr>
        <w:t>е</w:t>
      </w:r>
      <w:r w:rsidRPr="009E4353">
        <w:rPr>
          <w:sz w:val="28"/>
          <w:szCs w:val="28"/>
        </w:rPr>
        <w:t>явно заданную информацию (32,8% выполнения).</w:t>
      </w:r>
    </w:p>
    <w:p w:rsidR="0013557A" w:rsidRDefault="0013557A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Нестандартная форма задания №6 на чтение диаграмм поставила многих в тупик, с ней справились лишь 33% всех участников работы. И опять же мы отм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чаем, что в случае, если задание представляет собой неявно заданную контекс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ную ситуацию</w:t>
      </w:r>
      <w:r w:rsidR="00235528">
        <w:rPr>
          <w:rFonts w:ascii="Times New Roman" w:hAnsi="Times New Roman" w:cs="Times New Roman"/>
          <w:sz w:val="28"/>
          <w:szCs w:val="28"/>
        </w:rPr>
        <w:t xml:space="preserve">, то есть как раз когда и проявляется </w:t>
      </w:r>
      <w:proofErr w:type="spellStart"/>
      <w:r w:rsidR="00235528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235528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 xml:space="preserve">, обучающиеся демонстрируют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предметного умения. В то же время как стандартные предметные задания по математике на чтение диаграмм выполняю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ими достаточно успешно.</w:t>
      </w:r>
    </w:p>
    <w:p w:rsidR="00FD018E" w:rsidRDefault="00FD018E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повышенного уровня диагностировали умение </w:t>
      </w:r>
      <w:r w:rsidRPr="00FD018E">
        <w:rPr>
          <w:rFonts w:ascii="Times New Roman" w:hAnsi="Times New Roman" w:cs="Times New Roman"/>
          <w:sz w:val="28"/>
          <w:szCs w:val="28"/>
        </w:rPr>
        <w:t>оценивать дост</w:t>
      </w:r>
      <w:r w:rsidRPr="00FD018E">
        <w:rPr>
          <w:rFonts w:ascii="Times New Roman" w:hAnsi="Times New Roman" w:cs="Times New Roman"/>
          <w:sz w:val="28"/>
          <w:szCs w:val="28"/>
        </w:rPr>
        <w:t>о</w:t>
      </w:r>
      <w:r w:rsidRPr="00FD018E">
        <w:rPr>
          <w:rFonts w:ascii="Times New Roman" w:hAnsi="Times New Roman" w:cs="Times New Roman"/>
          <w:sz w:val="28"/>
          <w:szCs w:val="28"/>
        </w:rPr>
        <w:t>верность предложенной информации, строить оценочные суждения на основе текста</w:t>
      </w:r>
      <w:r>
        <w:rPr>
          <w:rFonts w:ascii="Times New Roman" w:hAnsi="Times New Roman" w:cs="Times New Roman"/>
          <w:sz w:val="28"/>
          <w:szCs w:val="28"/>
        </w:rPr>
        <w:t xml:space="preserve">. Для них порог освоения в 50% выполнен не был. В среднем эти задания выполнялись примерно одинаково: 45,7% и 44,4% выполнения, что показывает усвоение данного умения группой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продемонстрированное ими вне зависимости от формы предъявления задания.</w:t>
      </w:r>
      <w:r w:rsidR="00400C74">
        <w:rPr>
          <w:rFonts w:ascii="Times New Roman" w:hAnsi="Times New Roman" w:cs="Times New Roman"/>
          <w:sz w:val="28"/>
          <w:szCs w:val="28"/>
        </w:rPr>
        <w:t xml:space="preserve"> </w:t>
      </w:r>
      <w:r w:rsidR="00AB50E3">
        <w:rPr>
          <w:rFonts w:ascii="Times New Roman" w:hAnsi="Times New Roman" w:cs="Times New Roman"/>
          <w:sz w:val="28"/>
          <w:szCs w:val="28"/>
        </w:rPr>
        <w:t>К сожалению, отметим, что менее половины девятиклассников могут составить собственный логически связанный текст, в котором определить свою позицию и аргументировать своё мнение. В то же время данное умение контролируется в рамках международных исследований качества образования.</w:t>
      </w:r>
    </w:p>
    <w:p w:rsidR="009E4353" w:rsidRDefault="006D02F9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D02F9" w:rsidRDefault="006D02F9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целом обучающиеся 9-х классов образовательных организаций 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ленской области продемонстрировали усвоение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воения образовательной программы основного общего образования, диагност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руемых в рамках данной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54,8%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показали базовый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освоения МПР, 30,2% - повышенный уровень. Эти данные позволяют 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рить о наличии системы формирования </w:t>
      </w:r>
      <w:r w:rsidR="00B45133">
        <w:rPr>
          <w:rFonts w:ascii="Times New Roman" w:hAnsi="Times New Roman" w:cs="Times New Roman"/>
          <w:sz w:val="28"/>
          <w:szCs w:val="28"/>
        </w:rPr>
        <w:t>МПР в образовательных организациях о</w:t>
      </w:r>
      <w:r w:rsidR="00B45133">
        <w:rPr>
          <w:rFonts w:ascii="Times New Roman" w:hAnsi="Times New Roman" w:cs="Times New Roman"/>
          <w:sz w:val="28"/>
          <w:szCs w:val="28"/>
        </w:rPr>
        <w:t>б</w:t>
      </w:r>
      <w:r w:rsidR="00B45133">
        <w:rPr>
          <w:rFonts w:ascii="Times New Roman" w:hAnsi="Times New Roman" w:cs="Times New Roman"/>
          <w:sz w:val="28"/>
          <w:szCs w:val="28"/>
        </w:rPr>
        <w:t>ласти.</w:t>
      </w:r>
    </w:p>
    <w:p w:rsidR="006D02F9" w:rsidRDefault="006D02F9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15% всех участников работы продемонстрировали пониженный уровень освоения МПР, что говорит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ими целей образования на уровне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общего образования. Причём, около 1% девятиклассников показали крайне низкие результаты, получив за работу 0 – 1 балл.</w:t>
      </w:r>
    </w:p>
    <w:p w:rsidR="00B45133" w:rsidRDefault="00B45133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 xml:space="preserve">3. На базовом уровне освоены умения: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133">
        <w:rPr>
          <w:rFonts w:ascii="Times New Roman" w:hAnsi="Times New Roman" w:cs="Times New Roman"/>
          <w:sz w:val="28"/>
          <w:szCs w:val="28"/>
        </w:rPr>
        <w:t>риентироваться в содержании те</w:t>
      </w:r>
      <w:r w:rsidRPr="00B45133">
        <w:rPr>
          <w:rFonts w:ascii="Times New Roman" w:hAnsi="Times New Roman" w:cs="Times New Roman"/>
          <w:sz w:val="28"/>
          <w:szCs w:val="28"/>
        </w:rPr>
        <w:t>к</w:t>
      </w:r>
      <w:r w:rsidRPr="00B45133">
        <w:rPr>
          <w:rFonts w:ascii="Times New Roman" w:hAnsi="Times New Roman" w:cs="Times New Roman"/>
          <w:sz w:val="28"/>
          <w:szCs w:val="28"/>
        </w:rPr>
        <w:t>ста, отвечать на вопросы, используя явно заданную в тексте инфор</w:t>
      </w:r>
      <w:r>
        <w:rPr>
          <w:rFonts w:ascii="Times New Roman" w:hAnsi="Times New Roman" w:cs="Times New Roman"/>
          <w:sz w:val="28"/>
          <w:szCs w:val="28"/>
        </w:rPr>
        <w:t>мацию, и п</w:t>
      </w:r>
      <w:r w:rsidRPr="00B45133">
        <w:rPr>
          <w:rFonts w:ascii="Times New Roman" w:hAnsi="Times New Roman" w:cs="Times New Roman"/>
          <w:sz w:val="28"/>
          <w:szCs w:val="28"/>
        </w:rPr>
        <w:t>р</w:t>
      </w:r>
      <w:r w:rsidRPr="00B45133">
        <w:rPr>
          <w:rFonts w:ascii="Times New Roman" w:hAnsi="Times New Roman" w:cs="Times New Roman"/>
          <w:sz w:val="28"/>
          <w:szCs w:val="28"/>
        </w:rPr>
        <w:t>е</w:t>
      </w:r>
      <w:r w:rsidRPr="00B45133">
        <w:rPr>
          <w:rFonts w:ascii="Times New Roman" w:hAnsi="Times New Roman" w:cs="Times New Roman"/>
          <w:sz w:val="28"/>
          <w:szCs w:val="28"/>
        </w:rPr>
        <w:t>образовывать модели из одной знаковой системы в другую (таблицы, схемы, гр</w:t>
      </w:r>
      <w:r w:rsidRPr="00B45133">
        <w:rPr>
          <w:rFonts w:ascii="Times New Roman" w:hAnsi="Times New Roman" w:cs="Times New Roman"/>
          <w:sz w:val="28"/>
          <w:szCs w:val="28"/>
        </w:rPr>
        <w:t>а</w:t>
      </w:r>
      <w:r w:rsidRPr="00B45133">
        <w:rPr>
          <w:rFonts w:ascii="Times New Roman" w:hAnsi="Times New Roman" w:cs="Times New Roman"/>
          <w:sz w:val="28"/>
          <w:szCs w:val="28"/>
        </w:rPr>
        <w:t>фики, диаграммы, рисунки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528" w:rsidRDefault="00235528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усвоены на базовом уровне умения: и</w:t>
      </w:r>
      <w:r w:rsidRPr="00235528">
        <w:rPr>
          <w:rFonts w:ascii="Times New Roman" w:hAnsi="Times New Roman" w:cs="Times New Roman"/>
          <w:sz w:val="28"/>
          <w:szCs w:val="28"/>
        </w:rPr>
        <w:t>спользовать знаково-символически</w:t>
      </w:r>
      <w:r w:rsidR="00A50FB6">
        <w:rPr>
          <w:rFonts w:ascii="Times New Roman" w:hAnsi="Times New Roman" w:cs="Times New Roman"/>
          <w:sz w:val="28"/>
          <w:szCs w:val="28"/>
        </w:rPr>
        <w:t>е</w:t>
      </w:r>
      <w:r w:rsidRPr="00235528">
        <w:rPr>
          <w:rFonts w:ascii="Times New Roman" w:hAnsi="Times New Roman" w:cs="Times New Roman"/>
          <w:sz w:val="28"/>
          <w:szCs w:val="28"/>
        </w:rPr>
        <w:t xml:space="preserve"> средства и модели при решении учебно-практических задач 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235528">
        <w:rPr>
          <w:rFonts w:ascii="Times New Roman" w:hAnsi="Times New Roman" w:cs="Times New Roman"/>
          <w:sz w:val="28"/>
          <w:szCs w:val="28"/>
        </w:rPr>
        <w:t>н</w:t>
      </w:r>
      <w:r w:rsidRPr="00235528">
        <w:rPr>
          <w:rFonts w:ascii="Times New Roman" w:hAnsi="Times New Roman" w:cs="Times New Roman"/>
          <w:sz w:val="28"/>
          <w:szCs w:val="28"/>
        </w:rPr>
        <w:t>терпретировать информацию, отвечать на вопросы, используя неявно заданную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528" w:rsidRDefault="00235528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повышенном уровне не усвоено умение </w:t>
      </w:r>
      <w:r w:rsidRPr="00FD018E">
        <w:rPr>
          <w:rFonts w:ascii="Times New Roman" w:hAnsi="Times New Roman" w:cs="Times New Roman"/>
          <w:sz w:val="28"/>
          <w:szCs w:val="28"/>
        </w:rPr>
        <w:t>оценивать достоверность предложенной информации, строить оценочные суждения на основе текста</w:t>
      </w:r>
      <w:r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нако результаты выполнения заданий на диагностику данного умения позволяют сделать вывод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умения на базовом уровне.</w:t>
      </w:r>
    </w:p>
    <w:p w:rsidR="00235528" w:rsidRDefault="00235528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Диаграмма распределения результатов свидетельствует о необъективн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оценивания работ с тенденцией к завышению пограничных результатов.</w:t>
      </w:r>
    </w:p>
    <w:p w:rsidR="00235528" w:rsidRDefault="00235528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35528" w:rsidRDefault="00235528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52A3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области усовершенствовать систему формирования </w:t>
      </w:r>
      <w:proofErr w:type="spellStart"/>
      <w:r w:rsidR="004A52A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A52A3">
        <w:rPr>
          <w:rFonts w:ascii="Times New Roman" w:hAnsi="Times New Roman" w:cs="Times New Roman"/>
          <w:sz w:val="28"/>
          <w:szCs w:val="28"/>
        </w:rPr>
        <w:t xml:space="preserve"> результатов освоения образовательных программ основного общего образования в направлении формирования умений интерпрет</w:t>
      </w:r>
      <w:r w:rsidR="004A52A3">
        <w:rPr>
          <w:rFonts w:ascii="Times New Roman" w:hAnsi="Times New Roman" w:cs="Times New Roman"/>
          <w:sz w:val="28"/>
          <w:szCs w:val="28"/>
        </w:rPr>
        <w:t>и</w:t>
      </w:r>
      <w:r w:rsidR="004A52A3">
        <w:rPr>
          <w:rFonts w:ascii="Times New Roman" w:hAnsi="Times New Roman" w:cs="Times New Roman"/>
          <w:sz w:val="28"/>
          <w:szCs w:val="28"/>
        </w:rPr>
        <w:t>ровать информацию, представленную в различных формах, а также оценивать представленную информацию, формулировать и аргументировать собственное отношение к ней.</w:t>
      </w:r>
    </w:p>
    <w:p w:rsidR="004A52A3" w:rsidRDefault="004A52A3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Ввести в образовательный процесс систему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4A52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подобных заданий,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правленных на формирование читательской, математической и естественнонау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грамотности обучающихся.</w:t>
      </w:r>
    </w:p>
    <w:p w:rsidR="004A52A3" w:rsidRDefault="004A52A3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Разработать и внедрить систему коррекции результатов освоения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образовательных программ для обучающихся, продемонстрировавших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женный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МПР, а также для обучающихся, набравших минимально допустимый балл за выполнение работы (7 баллов).</w:t>
      </w:r>
      <w:proofErr w:type="gramEnd"/>
    </w:p>
    <w:p w:rsidR="004A52A3" w:rsidRDefault="004A52A3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Разработать и реализовать систему развития МПР обучающихся, прод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монстрировавших базовый и повышенный уровни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зультатов. Целенаправленно подбирать для этих групп обучающихся задания, способствующие развитию уже имеющихся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4A52A3" w:rsidRPr="004A52A3" w:rsidRDefault="004A52A3" w:rsidP="003803C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033E">
        <w:rPr>
          <w:rFonts w:ascii="Times New Roman" w:hAnsi="Times New Roman" w:cs="Times New Roman"/>
          <w:sz w:val="28"/>
          <w:szCs w:val="28"/>
        </w:rPr>
        <w:t xml:space="preserve">Повысить </w:t>
      </w:r>
      <w:bookmarkStart w:id="0" w:name="_GoBack"/>
      <w:bookmarkEnd w:id="0"/>
      <w:r w:rsidR="005C033E">
        <w:rPr>
          <w:rFonts w:ascii="Times New Roman" w:hAnsi="Times New Roman" w:cs="Times New Roman"/>
          <w:sz w:val="28"/>
          <w:szCs w:val="28"/>
        </w:rPr>
        <w:t>объективность проведения и оценивания диагностических процедур для выявления реальной картины формирования образовательных р</w:t>
      </w:r>
      <w:r w:rsidR="005C033E">
        <w:rPr>
          <w:rFonts w:ascii="Times New Roman" w:hAnsi="Times New Roman" w:cs="Times New Roman"/>
          <w:sz w:val="28"/>
          <w:szCs w:val="28"/>
        </w:rPr>
        <w:t>е</w:t>
      </w:r>
      <w:r w:rsidR="005C033E">
        <w:rPr>
          <w:rFonts w:ascii="Times New Roman" w:hAnsi="Times New Roman" w:cs="Times New Roman"/>
          <w:sz w:val="28"/>
          <w:szCs w:val="28"/>
        </w:rPr>
        <w:t>зультатов обучающихся.</w:t>
      </w:r>
    </w:p>
    <w:sectPr w:rsidR="004A52A3" w:rsidRPr="004A52A3" w:rsidSect="00157B83"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457" w:rsidRDefault="008F0457" w:rsidP="00157B83">
      <w:pPr>
        <w:spacing w:after="0" w:line="240" w:lineRule="auto"/>
      </w:pPr>
      <w:r>
        <w:separator/>
      </w:r>
    </w:p>
  </w:endnote>
  <w:endnote w:type="continuationSeparator" w:id="0">
    <w:p w:rsidR="008F0457" w:rsidRDefault="008F0457" w:rsidP="0015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457" w:rsidRDefault="008F0457" w:rsidP="00157B83">
      <w:pPr>
        <w:spacing w:after="0" w:line="240" w:lineRule="auto"/>
      </w:pPr>
      <w:r>
        <w:separator/>
      </w:r>
    </w:p>
  </w:footnote>
  <w:footnote w:type="continuationSeparator" w:id="0">
    <w:p w:rsidR="008F0457" w:rsidRDefault="008F0457" w:rsidP="00157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D01"/>
    <w:multiLevelType w:val="hybridMultilevel"/>
    <w:tmpl w:val="53CE9A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8D10F0"/>
    <w:multiLevelType w:val="hybridMultilevel"/>
    <w:tmpl w:val="0AA84E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36650D1"/>
    <w:multiLevelType w:val="hybridMultilevel"/>
    <w:tmpl w:val="323A21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A0"/>
    <w:rsid w:val="000043CE"/>
    <w:rsid w:val="0013557A"/>
    <w:rsid w:val="00157B83"/>
    <w:rsid w:val="001D3A3D"/>
    <w:rsid w:val="00235528"/>
    <w:rsid w:val="003803CC"/>
    <w:rsid w:val="00400C74"/>
    <w:rsid w:val="00446254"/>
    <w:rsid w:val="004A52A3"/>
    <w:rsid w:val="00543A9E"/>
    <w:rsid w:val="00577D60"/>
    <w:rsid w:val="005C033E"/>
    <w:rsid w:val="005E52CB"/>
    <w:rsid w:val="006D02F9"/>
    <w:rsid w:val="00752BD0"/>
    <w:rsid w:val="008D2546"/>
    <w:rsid w:val="008D5DCC"/>
    <w:rsid w:val="008F0457"/>
    <w:rsid w:val="00954DA0"/>
    <w:rsid w:val="009E4353"/>
    <w:rsid w:val="00A077BE"/>
    <w:rsid w:val="00A20493"/>
    <w:rsid w:val="00A412C1"/>
    <w:rsid w:val="00A50FB6"/>
    <w:rsid w:val="00AB50E3"/>
    <w:rsid w:val="00B45133"/>
    <w:rsid w:val="00B52AEC"/>
    <w:rsid w:val="00B63E63"/>
    <w:rsid w:val="00C11B2A"/>
    <w:rsid w:val="00C54803"/>
    <w:rsid w:val="00C70BE6"/>
    <w:rsid w:val="00CB7668"/>
    <w:rsid w:val="00D0052C"/>
    <w:rsid w:val="00D316D0"/>
    <w:rsid w:val="00D47E00"/>
    <w:rsid w:val="00E077F0"/>
    <w:rsid w:val="00E35E3E"/>
    <w:rsid w:val="00F06942"/>
    <w:rsid w:val="00F46BDE"/>
    <w:rsid w:val="00F60D78"/>
    <w:rsid w:val="00FD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52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0052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5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2546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5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B83"/>
  </w:style>
  <w:style w:type="paragraph" w:styleId="aa">
    <w:name w:val="footer"/>
    <w:basedOn w:val="a"/>
    <w:link w:val="ab"/>
    <w:uiPriority w:val="99"/>
    <w:unhideWhenUsed/>
    <w:rsid w:val="0015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52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0052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5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2546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5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B83"/>
  </w:style>
  <w:style w:type="paragraph" w:styleId="aa">
    <w:name w:val="footer"/>
    <w:basedOn w:val="a"/>
    <w:link w:val="ab"/>
    <w:uiPriority w:val="99"/>
    <w:unhideWhenUsed/>
    <w:rsid w:val="0015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54;&#1057;-1\Desktop\&#1054;&#1090;&#1076;&#1077;&#1083;%202020\&#1052;&#1055;&#1056;_2020\&#1088;&#1077;&#1079;&#1091;&#1083;&#1100;&#1090;&#1072;&#1090;&#1099;_&#1052;&#1055;&#1056;%209%20&#1082;&#1083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60;&#1043;&#1054;&#1057;-1\Desktop\&#1054;&#1090;&#1076;&#1077;&#1083;%202020\&#1052;&#1055;&#1056;_2020\&#1088;&#1077;&#1079;&#1091;&#1083;&#1100;&#1090;&#1072;&#1090;&#1099;_&#1052;&#1055;&#1056;%209%20&#1082;&#108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54;&#1057;-1\Desktop\&#1054;&#1090;&#1076;&#1077;&#1083;%202020\&#1052;&#1055;&#1056;_2020\&#1088;&#1077;&#1079;&#1091;&#1083;&#1100;&#1090;&#1072;&#1090;&#1099;_&#1052;&#1055;&#1056;%209%20&#1082;&#1083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60;&#1043;&#1054;&#1057;-1\Desktop\&#1054;&#1090;&#1076;&#1077;&#1083;%202020\&#1052;&#1055;&#1056;_2020\&#1088;&#1077;&#1079;&#1091;&#1083;&#1100;&#1090;&#1072;&#1090;&#1099;_&#1052;&#1055;&#1056;%209%20&#1082;&#108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54;&#1057;-1\Desktop\&#1054;&#1090;&#1076;&#1077;&#1083;%202020\&#1052;&#1055;&#1056;_2020\&#1088;&#1077;&#1079;&#1091;&#1083;&#1100;&#1090;&#1072;&#1090;&#1099;_&#1052;&#1055;&#1056;%209%20&#108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Pos val="outEnd"/>
            <c:showVal val="1"/>
          </c:dLbls>
          <c:cat>
            <c:strRef>
              <c:f>'по районам'!$B$6:$B$32</c:f>
              <c:strCache>
                <c:ptCount val="27"/>
                <c:pt idx="0">
                  <c:v>Велижский</c:v>
                </c:pt>
                <c:pt idx="1">
                  <c:v>Вяземский</c:v>
                </c:pt>
                <c:pt idx="2">
                  <c:v>Гагаринский</c:v>
                </c:pt>
                <c:pt idx="3">
                  <c:v>Глинковский</c:v>
                </c:pt>
                <c:pt idx="4">
                  <c:v>Демидовский</c:v>
                </c:pt>
                <c:pt idx="5">
                  <c:v>Десногорск</c:v>
                </c:pt>
                <c:pt idx="6">
                  <c:v>Дорогобужский</c:v>
                </c:pt>
                <c:pt idx="7">
                  <c:v>Духовщинский</c:v>
                </c:pt>
                <c:pt idx="8">
                  <c:v>Ельнинский</c:v>
                </c:pt>
                <c:pt idx="9">
                  <c:v>Ершичский</c:v>
                </c:pt>
                <c:pt idx="10">
                  <c:v>Кардымовский</c:v>
                </c:pt>
                <c:pt idx="11">
                  <c:v>Краснинский</c:v>
                </c:pt>
                <c:pt idx="12">
                  <c:v>Монастырщинский</c:v>
                </c:pt>
                <c:pt idx="13">
                  <c:v>Новодугинский</c:v>
                </c:pt>
                <c:pt idx="14">
                  <c:v>Починковский</c:v>
                </c:pt>
                <c:pt idx="15">
                  <c:v>Рославльский</c:v>
                </c:pt>
                <c:pt idx="16">
                  <c:v>Руднянский</c:v>
                </c:pt>
                <c:pt idx="17">
                  <c:v>Сафоновский</c:v>
                </c:pt>
                <c:pt idx="18">
                  <c:v>Смоленск</c:v>
                </c:pt>
                <c:pt idx="19">
                  <c:v>Смоленский</c:v>
                </c:pt>
                <c:pt idx="20">
                  <c:v>Сычёвский</c:v>
                </c:pt>
                <c:pt idx="21">
                  <c:v>Тёмкинский</c:v>
                </c:pt>
                <c:pt idx="22">
                  <c:v>Угранский</c:v>
                </c:pt>
                <c:pt idx="23">
                  <c:v>Хиславичский</c:v>
                </c:pt>
                <c:pt idx="24">
                  <c:v>Холм-Жирковский</c:v>
                </c:pt>
                <c:pt idx="25">
                  <c:v>Шумячский</c:v>
                </c:pt>
                <c:pt idx="26">
                  <c:v>Ярцевский</c:v>
                </c:pt>
              </c:strCache>
            </c:strRef>
          </c:cat>
          <c:val>
            <c:numRef>
              <c:f>'по районам'!$E$6:$E$32</c:f>
              <c:numCache>
                <c:formatCode>0.0</c:formatCode>
                <c:ptCount val="27"/>
                <c:pt idx="0">
                  <c:v>55.882352941176485</c:v>
                </c:pt>
                <c:pt idx="1">
                  <c:v>58.200290275761979</c:v>
                </c:pt>
                <c:pt idx="2">
                  <c:v>51.135190918472667</c:v>
                </c:pt>
                <c:pt idx="3">
                  <c:v>64.215686274509778</c:v>
                </c:pt>
                <c:pt idx="4">
                  <c:v>47.486631016042764</c:v>
                </c:pt>
                <c:pt idx="5">
                  <c:v>59.406693711967534</c:v>
                </c:pt>
                <c:pt idx="6">
                  <c:v>55.355766760852795</c:v>
                </c:pt>
                <c:pt idx="7">
                  <c:v>46.336429308565528</c:v>
                </c:pt>
                <c:pt idx="8">
                  <c:v>52.723311546840975</c:v>
                </c:pt>
                <c:pt idx="9">
                  <c:v>61.229946524064182</c:v>
                </c:pt>
                <c:pt idx="10">
                  <c:v>52.18487394957986</c:v>
                </c:pt>
                <c:pt idx="11">
                  <c:v>50.507099391480722</c:v>
                </c:pt>
                <c:pt idx="12">
                  <c:v>46.146044624746423</c:v>
                </c:pt>
                <c:pt idx="13">
                  <c:v>49.071207430340529</c:v>
                </c:pt>
                <c:pt idx="14">
                  <c:v>55.671108222294443</c:v>
                </c:pt>
                <c:pt idx="15">
                  <c:v>53.035714285714285</c:v>
                </c:pt>
                <c:pt idx="16">
                  <c:v>51.531356344190584</c:v>
                </c:pt>
                <c:pt idx="17">
                  <c:v>51.665323663712044</c:v>
                </c:pt>
                <c:pt idx="18">
                  <c:v>60.432293722858269</c:v>
                </c:pt>
                <c:pt idx="19">
                  <c:v>50.868746074942415</c:v>
                </c:pt>
                <c:pt idx="20">
                  <c:v>55.224913494809705</c:v>
                </c:pt>
                <c:pt idx="21">
                  <c:v>56.000000000000007</c:v>
                </c:pt>
                <c:pt idx="22">
                  <c:v>50.534759358288781</c:v>
                </c:pt>
                <c:pt idx="23">
                  <c:v>55.940023068050749</c:v>
                </c:pt>
                <c:pt idx="24">
                  <c:v>54.844290657439423</c:v>
                </c:pt>
                <c:pt idx="25">
                  <c:v>58.823529411764696</c:v>
                </c:pt>
                <c:pt idx="26">
                  <c:v>56.710020691693749</c:v>
                </c:pt>
              </c:numCache>
            </c:numRef>
          </c:val>
        </c:ser>
        <c:gapWidth val="46"/>
        <c:axId val="76717056"/>
        <c:axId val="76731136"/>
      </c:barChart>
      <c:catAx>
        <c:axId val="76717056"/>
        <c:scaling>
          <c:orientation val="maxMin"/>
        </c:scaling>
        <c:axPos val="l"/>
        <c:majorGridlines/>
        <c:tickLblPos val="nextTo"/>
        <c:crossAx val="76731136"/>
        <c:crosses val="autoZero"/>
        <c:auto val="1"/>
        <c:lblAlgn val="ctr"/>
        <c:lblOffset val="100"/>
      </c:catAx>
      <c:valAx>
        <c:axId val="76731136"/>
        <c:scaling>
          <c:orientation val="minMax"/>
        </c:scaling>
        <c:delete val="1"/>
        <c:axPos val="t"/>
        <c:numFmt formatCode="0.0" sourceLinked="1"/>
        <c:tickLblPos val="none"/>
        <c:crossAx val="76717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2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8"/>
              <c:layout>
                <c:manualLayout>
                  <c:x val="0"/>
                  <c:y val="-1.5358472624947829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'по районам'!$B$6:$B$32</c:f>
              <c:strCache>
                <c:ptCount val="27"/>
                <c:pt idx="0">
                  <c:v>Велижский</c:v>
                </c:pt>
                <c:pt idx="1">
                  <c:v>Вяземский</c:v>
                </c:pt>
                <c:pt idx="2">
                  <c:v>Гагаринский</c:v>
                </c:pt>
                <c:pt idx="3">
                  <c:v>Глинковский</c:v>
                </c:pt>
                <c:pt idx="4">
                  <c:v>Демидовский</c:v>
                </c:pt>
                <c:pt idx="5">
                  <c:v>Десногорск</c:v>
                </c:pt>
                <c:pt idx="6">
                  <c:v>Дорогобужский</c:v>
                </c:pt>
                <c:pt idx="7">
                  <c:v>Духовщинский</c:v>
                </c:pt>
                <c:pt idx="8">
                  <c:v>Ельнинский</c:v>
                </c:pt>
                <c:pt idx="9">
                  <c:v>Ершичский</c:v>
                </c:pt>
                <c:pt idx="10">
                  <c:v>Кардымовский</c:v>
                </c:pt>
                <c:pt idx="11">
                  <c:v>Краснинский</c:v>
                </c:pt>
                <c:pt idx="12">
                  <c:v>Монастырщинский</c:v>
                </c:pt>
                <c:pt idx="13">
                  <c:v>Новодугинский</c:v>
                </c:pt>
                <c:pt idx="14">
                  <c:v>Починковский</c:v>
                </c:pt>
                <c:pt idx="15">
                  <c:v>Рославльский</c:v>
                </c:pt>
                <c:pt idx="16">
                  <c:v>Руднянский</c:v>
                </c:pt>
                <c:pt idx="17">
                  <c:v>Сафоновский</c:v>
                </c:pt>
                <c:pt idx="18">
                  <c:v>Смоленск</c:v>
                </c:pt>
                <c:pt idx="19">
                  <c:v>Смоленский</c:v>
                </c:pt>
                <c:pt idx="20">
                  <c:v>Сычёвский</c:v>
                </c:pt>
                <c:pt idx="21">
                  <c:v>Тёмкинский</c:v>
                </c:pt>
                <c:pt idx="22">
                  <c:v>Угранский</c:v>
                </c:pt>
                <c:pt idx="23">
                  <c:v>Хиславичский</c:v>
                </c:pt>
                <c:pt idx="24">
                  <c:v>Холм-Жирковский</c:v>
                </c:pt>
                <c:pt idx="25">
                  <c:v>Шумячский</c:v>
                </c:pt>
                <c:pt idx="26">
                  <c:v>Ярцевский</c:v>
                </c:pt>
              </c:strCache>
            </c:strRef>
          </c:cat>
          <c:val>
            <c:numRef>
              <c:f>'по районам'!$F$6:$F$32</c:f>
              <c:numCache>
                <c:formatCode>0.0</c:formatCode>
                <c:ptCount val="27"/>
                <c:pt idx="0">
                  <c:v>-0.35020047708470536</c:v>
                </c:pt>
                <c:pt idx="1">
                  <c:v>1.9677368575008032</c:v>
                </c:pt>
                <c:pt idx="2">
                  <c:v>-5.0973624997885265</c:v>
                </c:pt>
                <c:pt idx="3">
                  <c:v>7.9831328562486306</c:v>
                </c:pt>
                <c:pt idx="4">
                  <c:v>-8.7459224022183939</c:v>
                </c:pt>
                <c:pt idx="5">
                  <c:v>3.1741402937063734</c:v>
                </c:pt>
                <c:pt idx="6">
                  <c:v>-0.87678665740836714</c:v>
                </c:pt>
                <c:pt idx="7">
                  <c:v>-9.8961241096956503</c:v>
                </c:pt>
                <c:pt idx="8">
                  <c:v>-3.5092418714202225</c:v>
                </c:pt>
                <c:pt idx="9">
                  <c:v>4.9973931058030008</c:v>
                </c:pt>
                <c:pt idx="10">
                  <c:v>-4.0476794686813395</c:v>
                </c:pt>
                <c:pt idx="11">
                  <c:v>-5.7254540267804508</c:v>
                </c:pt>
                <c:pt idx="12">
                  <c:v>-10.086508793514723</c:v>
                </c:pt>
                <c:pt idx="13">
                  <c:v>-7.1613459879206189</c:v>
                </c:pt>
                <c:pt idx="14">
                  <c:v>-0.56144519596673348</c:v>
                </c:pt>
                <c:pt idx="15">
                  <c:v>-3.1968391325468906</c:v>
                </c:pt>
                <c:pt idx="16">
                  <c:v>-4.7011970740706079</c:v>
                </c:pt>
                <c:pt idx="17">
                  <c:v>-4.5672297545491194</c:v>
                </c:pt>
                <c:pt idx="18">
                  <c:v>4.1997403045970927</c:v>
                </c:pt>
                <c:pt idx="19">
                  <c:v>-5.3638073433187454</c:v>
                </c:pt>
                <c:pt idx="20">
                  <c:v>-1.0076399234514852</c:v>
                </c:pt>
                <c:pt idx="21">
                  <c:v>-0.23255341826116904</c:v>
                </c:pt>
                <c:pt idx="22">
                  <c:v>-5.6977940599723986</c:v>
                </c:pt>
                <c:pt idx="23">
                  <c:v>-0.29253035021042706</c:v>
                </c:pt>
                <c:pt idx="24">
                  <c:v>-1.3882627608217328</c:v>
                </c:pt>
                <c:pt idx="25">
                  <c:v>2.590975993503533</c:v>
                </c:pt>
                <c:pt idx="26">
                  <c:v>0.47746727343258766</c:v>
                </c:pt>
              </c:numCache>
            </c:numRef>
          </c:val>
        </c:ser>
        <c:dLbls>
          <c:showVal val="1"/>
        </c:dLbls>
        <c:gapWidth val="75"/>
        <c:overlap val="-25"/>
        <c:axId val="77901824"/>
        <c:axId val="77939456"/>
      </c:barChart>
      <c:catAx>
        <c:axId val="77901824"/>
        <c:scaling>
          <c:orientation val="minMax"/>
        </c:scaling>
        <c:axPos val="b"/>
        <c:majorGridlines/>
        <c:majorTickMark val="none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77939456"/>
        <c:crosses val="autoZero"/>
        <c:auto val="1"/>
        <c:lblAlgn val="ctr"/>
        <c:lblOffset val="100"/>
      </c:catAx>
      <c:valAx>
        <c:axId val="77939456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77901824"/>
        <c:crosses val="autoZero"/>
        <c:crossBetween val="between"/>
        <c:majorUnit val="1"/>
      </c:valAx>
    </c:plotArea>
    <c:plotVisOnly val="1"/>
    <c:dispBlanksAs val="gap"/>
  </c:chart>
  <c:txPr>
    <a:bodyPr/>
    <a:lstStyle/>
    <a:p>
      <a:pPr>
        <a:defRPr sz="1100"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54793861079783"/>
          <c:y val="0.24503954953747162"/>
          <c:w val="0.51397572178477691"/>
          <c:h val="0.70690070617963585"/>
        </c:manualLayout>
      </c:layout>
      <c:pie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2.5888232720909905E-2"/>
                  <c:y val="-3.7773403324584446E-3"/>
                </c:manualLayout>
              </c:layout>
              <c:showVal val="1"/>
            </c:dLbl>
            <c:dLbl>
              <c:idx val="1"/>
              <c:layout>
                <c:manualLayout>
                  <c:x val="-5.4015966754155743E-2"/>
                  <c:y val="8.4390492855059857E-3"/>
                </c:manualLayout>
              </c:layout>
              <c:showVal val="1"/>
            </c:dLbl>
            <c:dLbl>
              <c:idx val="2"/>
              <c:layout>
                <c:manualLayout>
                  <c:x val="-1.8092082239720041E-2"/>
                  <c:y val="-7.7979077830170971E-3"/>
                </c:manualLayout>
              </c:layout>
              <c:showVal val="1"/>
            </c:dLbl>
            <c:showVal val="1"/>
            <c:showLeaderLines val="1"/>
          </c:dLbls>
          <c:cat>
            <c:strRef>
              <c:f>'по районам'!$H$4:$J$4</c:f>
              <c:strCache>
                <c:ptCount val="3"/>
                <c:pt idx="0">
                  <c:v>Повышенный</c:v>
                </c:pt>
                <c:pt idx="1">
                  <c:v>Базовый</c:v>
                </c:pt>
                <c:pt idx="2">
                  <c:v>Пониженный</c:v>
                </c:pt>
              </c:strCache>
            </c:strRef>
          </c:cat>
          <c:val>
            <c:numRef>
              <c:f>'по районам'!$H$5:$J$5</c:f>
              <c:numCache>
                <c:formatCode>0.0%</c:formatCode>
                <c:ptCount val="3"/>
                <c:pt idx="0">
                  <c:v>0.30184066724187547</c:v>
                </c:pt>
                <c:pt idx="1">
                  <c:v>0.54774230658613765</c:v>
                </c:pt>
                <c:pt idx="2">
                  <c:v>0.15027322404371585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65739634209391362"/>
          <c:y val="0.41034256104806405"/>
          <c:w val="0.29260367001402832"/>
          <c:h val="0.34008224552724986"/>
        </c:manualLayout>
      </c:layout>
    </c:legend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832818588647932E-2"/>
          <c:y val="0.13767848124675472"/>
          <c:w val="0.90464718846647063"/>
          <c:h val="0.65803960464478917"/>
        </c:manualLayout>
      </c:layout>
      <c:barChart>
        <c:barDir val="col"/>
        <c:grouping val="clustered"/>
        <c:ser>
          <c:idx val="0"/>
          <c:order val="0"/>
          <c:cat>
            <c:strRef>
              <c:f>'по учащимся'!$W$3:$AN$3</c:f>
              <c:strCache>
                <c:ptCount val="18"/>
                <c:pt idx="0">
                  <c:v>0 б.</c:v>
                </c:pt>
                <c:pt idx="1">
                  <c:v>1 б.</c:v>
                </c:pt>
                <c:pt idx="2">
                  <c:v>2 б.</c:v>
                </c:pt>
                <c:pt idx="3">
                  <c:v>3 б.</c:v>
                </c:pt>
                <c:pt idx="4">
                  <c:v>4 б.</c:v>
                </c:pt>
                <c:pt idx="5">
                  <c:v>5 б.</c:v>
                </c:pt>
                <c:pt idx="6">
                  <c:v>6 б.</c:v>
                </c:pt>
                <c:pt idx="7">
                  <c:v>7 б.</c:v>
                </c:pt>
                <c:pt idx="8">
                  <c:v>8 б.</c:v>
                </c:pt>
                <c:pt idx="9">
                  <c:v>9 б.</c:v>
                </c:pt>
                <c:pt idx="10">
                  <c:v>10 б.</c:v>
                </c:pt>
                <c:pt idx="11">
                  <c:v>11 б.</c:v>
                </c:pt>
                <c:pt idx="12">
                  <c:v>12 б.</c:v>
                </c:pt>
                <c:pt idx="13">
                  <c:v>13 б.</c:v>
                </c:pt>
                <c:pt idx="14">
                  <c:v>14 б.</c:v>
                </c:pt>
                <c:pt idx="15">
                  <c:v>15 б.</c:v>
                </c:pt>
                <c:pt idx="16">
                  <c:v>16 б.</c:v>
                </c:pt>
                <c:pt idx="17">
                  <c:v>17 б.</c:v>
                </c:pt>
              </c:strCache>
            </c:strRef>
          </c:cat>
          <c:val>
            <c:numRef>
              <c:f>'по учащимся'!$W$4:$AN$4</c:f>
              <c:numCache>
                <c:formatCode>0.0%</c:formatCode>
                <c:ptCount val="18"/>
                <c:pt idx="0">
                  <c:v>5.4644808743169382E-3</c:v>
                </c:pt>
                <c:pt idx="1">
                  <c:v>4.889272361230948E-3</c:v>
                </c:pt>
                <c:pt idx="2">
                  <c:v>1.1647972389991375E-2</c:v>
                </c:pt>
                <c:pt idx="3">
                  <c:v>1.8550474547023306E-2</c:v>
                </c:pt>
                <c:pt idx="4">
                  <c:v>3.0198446937014668E-2</c:v>
                </c:pt>
                <c:pt idx="5">
                  <c:v>3.6238136324417601E-2</c:v>
                </c:pt>
                <c:pt idx="6">
                  <c:v>4.6735691688236998E-2</c:v>
                </c:pt>
                <c:pt idx="7">
                  <c:v>0.13560540696002304</c:v>
                </c:pt>
                <c:pt idx="8">
                  <c:v>0.11964337072188672</c:v>
                </c:pt>
                <c:pt idx="9">
                  <c:v>0.11202185792349727</c:v>
                </c:pt>
                <c:pt idx="10">
                  <c:v>0.10066148979004888</c:v>
                </c:pt>
                <c:pt idx="11">
                  <c:v>7.9810181190681673E-2</c:v>
                </c:pt>
                <c:pt idx="12">
                  <c:v>9.9367270635605423E-2</c:v>
                </c:pt>
                <c:pt idx="13">
                  <c:v>7.075064710957725E-2</c:v>
                </c:pt>
                <c:pt idx="14">
                  <c:v>5.2775381075639921E-2</c:v>
                </c:pt>
                <c:pt idx="15">
                  <c:v>3.2211676732815657E-2</c:v>
                </c:pt>
                <c:pt idx="16">
                  <c:v>3.4512510785159635E-2</c:v>
                </c:pt>
                <c:pt idx="17">
                  <c:v>1.2223180903077365E-2</c:v>
                </c:pt>
              </c:numCache>
            </c:numRef>
          </c:val>
        </c:ser>
        <c:axId val="84143104"/>
        <c:axId val="91714304"/>
      </c:barChart>
      <c:catAx>
        <c:axId val="84143104"/>
        <c:scaling>
          <c:orientation val="minMax"/>
        </c:scaling>
        <c:axPos val="b"/>
        <c:tickLblPos val="nextTo"/>
        <c:crossAx val="91714304"/>
        <c:crosses val="autoZero"/>
        <c:auto val="1"/>
        <c:lblAlgn val="ctr"/>
        <c:lblOffset val="100"/>
        <c:tickLblSkip val="1"/>
      </c:catAx>
      <c:valAx>
        <c:axId val="91714304"/>
        <c:scaling>
          <c:orientation val="minMax"/>
        </c:scaling>
        <c:axPos val="l"/>
        <c:majorGridlines/>
        <c:numFmt formatCode="0.0%" sourceLinked="1"/>
        <c:tickLblPos val="nextTo"/>
        <c:crossAx val="84143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200"/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4702312987245245"/>
          <c:y val="0.24803660387150073"/>
          <c:w val="0.80369607904801377"/>
          <c:h val="0.70325722983257233"/>
        </c:manualLayout>
      </c:layout>
      <c:barChart>
        <c:barDir val="bar"/>
        <c:grouping val="percentStacked"/>
        <c:ser>
          <c:idx val="0"/>
          <c:order val="0"/>
          <c:tx>
            <c:strRef>
              <c:f>'по районам'!$BR$6</c:f>
              <c:strCache>
                <c:ptCount val="1"/>
                <c:pt idx="0">
                  <c:v>Полностью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'по районам'!$BQ$7:$BQ$15</c:f>
              <c:strCache>
                <c:ptCount val="9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</c:strCache>
            </c:strRef>
          </c:cat>
          <c:val>
            <c:numRef>
              <c:f>'по районам'!$BR$7:$BR$15</c:f>
              <c:numCache>
                <c:formatCode>0%</c:formatCode>
                <c:ptCount val="9"/>
                <c:pt idx="0">
                  <c:v>0.8088869715271787</c:v>
                </c:pt>
                <c:pt idx="1">
                  <c:v>0.8554788610871441</c:v>
                </c:pt>
                <c:pt idx="2">
                  <c:v>0.84311187805579546</c:v>
                </c:pt>
                <c:pt idx="3">
                  <c:v>0.92220304860511959</c:v>
                </c:pt>
                <c:pt idx="4">
                  <c:v>0.47699165947656025</c:v>
                </c:pt>
                <c:pt idx="5">
                  <c:v>0.22562553925798096</c:v>
                </c:pt>
                <c:pt idx="6">
                  <c:v>0.28386540120793796</c:v>
                </c:pt>
                <c:pt idx="7">
                  <c:v>0.18392292205924649</c:v>
                </c:pt>
                <c:pt idx="8">
                  <c:v>0.22993960310612602</c:v>
                </c:pt>
              </c:numCache>
            </c:numRef>
          </c:val>
        </c:ser>
        <c:ser>
          <c:idx val="1"/>
          <c:order val="1"/>
          <c:tx>
            <c:strRef>
              <c:f>'по районам'!$BS$6</c:f>
              <c:strCache>
                <c:ptCount val="1"/>
                <c:pt idx="0">
                  <c:v>Частично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'по районам'!$BQ$7:$BQ$15</c:f>
              <c:strCache>
                <c:ptCount val="9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</c:strCache>
            </c:strRef>
          </c:cat>
          <c:val>
            <c:numRef>
              <c:f>'по районам'!$BS$7:$BS$15</c:f>
              <c:numCache>
                <c:formatCode>General</c:formatCode>
                <c:ptCount val="9"/>
                <c:pt idx="4" formatCode="0%">
                  <c:v>0.45010066148979017</c:v>
                </c:pt>
                <c:pt idx="5" formatCode="0%">
                  <c:v>0.21253954558527474</c:v>
                </c:pt>
                <c:pt idx="7" formatCode="0%">
                  <c:v>0.5401207937877478</c:v>
                </c:pt>
                <c:pt idx="8" formatCode="0%">
                  <c:v>0.40307736554501017</c:v>
                </c:pt>
              </c:numCache>
            </c:numRef>
          </c:val>
        </c:ser>
        <c:ser>
          <c:idx val="2"/>
          <c:order val="2"/>
          <c:tx>
            <c:strRef>
              <c:f>'по районам'!$BT$6</c:f>
              <c:strCache>
                <c:ptCount val="1"/>
                <c:pt idx="0">
                  <c:v>Не выполнили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'по районам'!$BQ$7:$BQ$15</c:f>
              <c:strCache>
                <c:ptCount val="9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</c:strCache>
            </c:strRef>
          </c:cat>
          <c:val>
            <c:numRef>
              <c:f>'по районам'!$BT$7:$BT$15</c:f>
              <c:numCache>
                <c:formatCode>0%</c:formatCode>
                <c:ptCount val="9"/>
                <c:pt idx="0">
                  <c:v>0.1919758412424504</c:v>
                </c:pt>
                <c:pt idx="1">
                  <c:v>0.14538395168248491</c:v>
                </c:pt>
                <c:pt idx="2">
                  <c:v>0.15775093471383381</c:v>
                </c:pt>
                <c:pt idx="3">
                  <c:v>7.8659764164509635E-2</c:v>
                </c:pt>
                <c:pt idx="4">
                  <c:v>7.3770491803278743E-2</c:v>
                </c:pt>
                <c:pt idx="5">
                  <c:v>0.56269772792637351</c:v>
                </c:pt>
                <c:pt idx="6">
                  <c:v>0.71685360943341991</c:v>
                </c:pt>
                <c:pt idx="7">
                  <c:v>0.27681909692263457</c:v>
                </c:pt>
                <c:pt idx="8">
                  <c:v>0.36770204199022155</c:v>
                </c:pt>
              </c:numCache>
            </c:numRef>
          </c:val>
        </c:ser>
        <c:dLbls>
          <c:showVal val="1"/>
        </c:dLbls>
        <c:gapWidth val="50"/>
        <c:overlap val="100"/>
        <c:axId val="95375744"/>
        <c:axId val="95834496"/>
      </c:barChart>
      <c:catAx>
        <c:axId val="9537574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aseline="0"/>
                  <a:t>Задания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5.5336944204605462E-3"/>
              <c:y val="0.42701603069619126"/>
            </c:manualLayout>
          </c:layout>
        </c:title>
        <c:tickLblPos val="nextTo"/>
        <c:crossAx val="95834496"/>
        <c:crosses val="autoZero"/>
        <c:auto val="1"/>
        <c:lblAlgn val="ctr"/>
        <c:lblOffset val="100"/>
      </c:catAx>
      <c:valAx>
        <c:axId val="95834496"/>
        <c:scaling>
          <c:orientation val="minMax"/>
        </c:scaling>
        <c:delete val="1"/>
        <c:axPos val="t"/>
        <c:minorGridlines/>
        <c:numFmt formatCode="0%" sourceLinked="1"/>
        <c:tickLblPos val="none"/>
        <c:crossAx val="953757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028871391076115"/>
          <c:y val="0.16280060882800607"/>
          <c:w val="0.7649781277340334"/>
          <c:h val="6.241565694699127E-2"/>
        </c:manualLayout>
      </c:layout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grpSp>
      <cdr:nvGrpSpPr>
        <cdr:cNvPr id="15" name="Группа 14"/>
        <cdr:cNvGrpSpPr/>
      </cdr:nvGrpSpPr>
      <cdr:grpSpPr>
        <a:xfrm xmlns:a="http://schemas.openxmlformats.org/drawingml/2006/main">
          <a:off x="0" y="0"/>
          <a:ext cx="5940425" cy="4435853"/>
          <a:chOff x="20" y="146085"/>
          <a:chExt cx="6560167" cy="5642251"/>
        </a:xfrm>
      </cdr:grpSpPr>
      <cdr:grpSp>
        <cdr:nvGrpSpPr>
          <cdr:cNvPr id="6" name="Группа 5"/>
          <cdr:cNvGrpSpPr/>
        </cdr:nvGrpSpPr>
        <cdr:grpSpPr>
          <a:xfrm xmlns:a="http://schemas.openxmlformats.org/drawingml/2006/main">
            <a:off x="20" y="146085"/>
            <a:ext cx="5940412" cy="2959074"/>
            <a:chOff x="20" y="146085"/>
            <a:chExt cx="5940412" cy="2959074"/>
          </a:xfrm>
        </cdr:grpSpPr>
        <cdr:sp macro="" textlink="">
          <cdr:nvSpPr>
            <cdr:cNvPr id="2" name="Прямоугольник 1"/>
            <cdr:cNvSpPr/>
          </cdr:nvSpPr>
          <cdr:spPr>
            <a:xfrm xmlns:a="http://schemas.openxmlformats.org/drawingml/2006/main">
              <a:off x="20" y="773240"/>
              <a:ext cx="5940412" cy="1455621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val="92D050">
                <a:alpha val="35000"/>
              </a:srgbClr>
            </a:solidFill>
            <a:ln xmlns:a="http://schemas.openxmlformats.org/drawingml/2006/main">
              <a:noFill/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vertOverflow="clip"/>
            <a:lstStyle xmlns:a="http://schemas.openxmlformats.org/drawingml/2006/main"/>
            <a:p xmlns:a="http://schemas.openxmlformats.org/drawingml/2006/main">
              <a:endParaRPr lang="ru-RU"/>
            </a:p>
          </cdr:txBody>
        </cdr:sp>
        <cdr:sp macro="" textlink="">
          <cdr:nvSpPr>
            <cdr:cNvPr id="3" name="Прямоугольник 2"/>
            <cdr:cNvSpPr/>
          </cdr:nvSpPr>
          <cdr:spPr>
            <a:xfrm xmlns:a="http://schemas.openxmlformats.org/drawingml/2006/main">
              <a:off x="20" y="2227603"/>
              <a:ext cx="5940411" cy="877556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val="FF0000">
                <a:alpha val="35000"/>
              </a:srgbClr>
            </a:solidFill>
            <a:ln xmlns:a="http://schemas.openxmlformats.org/drawingml/2006/main">
              <a:noFill/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vertOverflow="clip"/>
            <a:lstStyle xmlns:a="http://schemas.openxmlformats.org/drawingml/2006/main"/>
            <a:p xmlns:a="http://schemas.openxmlformats.org/drawingml/2006/main">
              <a:endParaRPr lang="ru-RU"/>
            </a:p>
          </cdr:txBody>
        </cdr:sp>
        <cdr:sp macro="" textlink="">
          <cdr:nvSpPr>
            <cdr:cNvPr id="4" name="Прямоугольник 3"/>
            <cdr:cNvSpPr/>
          </cdr:nvSpPr>
          <cdr:spPr>
            <a:xfrm xmlns:a="http://schemas.openxmlformats.org/drawingml/2006/main">
              <a:off x="20" y="146085"/>
              <a:ext cx="5940411" cy="615931"/>
            </a:xfrm>
            <a:prstGeom xmlns:a="http://schemas.openxmlformats.org/drawingml/2006/main" prst="rect">
              <a:avLst/>
            </a:prstGeom>
            <a:solidFill xmlns:a="http://schemas.openxmlformats.org/drawingml/2006/main">
              <a:srgbClr val="FF0000">
                <a:alpha val="35000"/>
              </a:srgbClr>
            </a:solidFill>
            <a:ln xmlns:a="http://schemas.openxmlformats.org/drawingml/2006/main">
              <a:noFill/>
            </a:ln>
          </cdr:spPr>
          <cdr:style>
            <a:lnRef xmlns:a="http://schemas.openxmlformats.org/drawingml/2006/main" idx="2">
              <a:schemeClr val="accent1">
                <a:shade val="50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vertOverflow="clip"/>
            <a:lstStyle xmlns:a="http://schemas.openxmlformats.org/drawingml/2006/main"/>
            <a:p xmlns:a="http://schemas.openxmlformats.org/drawingml/2006/main">
              <a:endParaRPr lang="ru-RU"/>
            </a:p>
          </cdr:txBody>
        </cdr:sp>
      </cdr:grpSp>
      <cdr:sp macro="" textlink="">
        <cdr:nvSpPr>
          <cdr:cNvPr id="7" name="TextBox 6"/>
          <cdr:cNvSpPr txBox="1"/>
        </cdr:nvSpPr>
        <cdr:spPr>
          <a:xfrm xmlns:a="http://schemas.openxmlformats.org/drawingml/2006/main">
            <a:off x="1577108" y="5535753"/>
            <a:ext cx="210553" cy="23060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200" b="1">
                <a:solidFill>
                  <a:srgbClr val="FF0000"/>
                </a:solidFill>
                <a:sym typeface="Wingdings"/>
              </a:rPr>
              <a:t></a:t>
            </a:r>
            <a:endParaRPr lang="ru-RU" sz="1200" b="1">
              <a:solidFill>
                <a:srgbClr val="FF0000"/>
              </a:solidFill>
            </a:endParaRPr>
          </a:p>
        </cdr:txBody>
      </cdr:sp>
      <cdr:sp macro="" textlink="">
        <cdr:nvSpPr>
          <cdr:cNvPr id="8" name="TextBox 7"/>
          <cdr:cNvSpPr txBox="1"/>
        </cdr:nvSpPr>
        <cdr:spPr>
          <a:xfrm xmlns:a="http://schemas.openxmlformats.org/drawingml/2006/main">
            <a:off x="2359161" y="5557731"/>
            <a:ext cx="210553" cy="23060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200" b="1">
                <a:solidFill>
                  <a:srgbClr val="FF0000"/>
                </a:solidFill>
                <a:sym typeface="Wingdings"/>
              </a:rPr>
              <a:t></a:t>
            </a:r>
            <a:endParaRPr lang="ru-RU" sz="1200" b="1">
              <a:solidFill>
                <a:srgbClr val="FF0000"/>
              </a:solidFill>
            </a:endParaRPr>
          </a:p>
        </cdr:txBody>
      </cdr:sp>
      <cdr:sp macro="" textlink="">
        <cdr:nvSpPr>
          <cdr:cNvPr id="9" name="TextBox 8"/>
          <cdr:cNvSpPr txBox="1"/>
        </cdr:nvSpPr>
        <cdr:spPr>
          <a:xfrm xmlns:a="http://schemas.openxmlformats.org/drawingml/2006/main">
            <a:off x="3421951" y="5557731"/>
            <a:ext cx="210553" cy="23060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200" b="1">
                <a:solidFill>
                  <a:srgbClr val="FF0000"/>
                </a:solidFill>
                <a:sym typeface="Wingdings"/>
              </a:rPr>
              <a:t></a:t>
            </a:r>
            <a:endParaRPr lang="ru-RU" sz="1200" b="1">
              <a:solidFill>
                <a:srgbClr val="FF0000"/>
              </a:solidFill>
            </a:endParaRPr>
          </a:p>
        </cdr:txBody>
      </cdr:sp>
      <cdr:sp macro="" textlink="">
        <cdr:nvSpPr>
          <cdr:cNvPr id="10" name="TextBox 9"/>
          <cdr:cNvSpPr txBox="1"/>
        </cdr:nvSpPr>
        <cdr:spPr>
          <a:xfrm xmlns:a="http://schemas.openxmlformats.org/drawingml/2006/main">
            <a:off x="5517450" y="5557731"/>
            <a:ext cx="210553" cy="23060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200" b="1">
                <a:solidFill>
                  <a:srgbClr val="FF0000"/>
                </a:solidFill>
                <a:sym typeface="Wingdings"/>
              </a:rPr>
              <a:t></a:t>
            </a:r>
            <a:endParaRPr lang="ru-RU" sz="1200" b="1">
              <a:solidFill>
                <a:srgbClr val="FF0000"/>
              </a:solidFill>
            </a:endParaRPr>
          </a:p>
        </cdr:txBody>
      </cdr:sp>
      <cdr:sp macro="" textlink="">
        <cdr:nvSpPr>
          <cdr:cNvPr id="11" name="TextBox 10"/>
          <cdr:cNvSpPr txBox="1"/>
        </cdr:nvSpPr>
        <cdr:spPr>
          <a:xfrm xmlns:a="http://schemas.openxmlformats.org/drawingml/2006/main">
            <a:off x="3762845" y="5557731"/>
            <a:ext cx="210553" cy="23060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200" b="1">
                <a:solidFill>
                  <a:srgbClr val="FF0000"/>
                </a:solidFill>
                <a:sym typeface="Wingdings"/>
              </a:rPr>
              <a:t></a:t>
            </a:r>
            <a:endParaRPr lang="ru-RU" sz="1200" b="1">
              <a:solidFill>
                <a:srgbClr val="FF0000"/>
              </a:solidFill>
            </a:endParaRPr>
          </a:p>
        </cdr:txBody>
      </cdr:sp>
      <cdr:sp macro="" textlink="">
        <cdr:nvSpPr>
          <cdr:cNvPr id="12" name="TextBox 11"/>
          <cdr:cNvSpPr txBox="1"/>
        </cdr:nvSpPr>
        <cdr:spPr>
          <a:xfrm xmlns:a="http://schemas.openxmlformats.org/drawingml/2006/main">
            <a:off x="3933292" y="5557731"/>
            <a:ext cx="210553" cy="23060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200" b="1">
                <a:solidFill>
                  <a:srgbClr val="FF0000"/>
                </a:solidFill>
                <a:sym typeface="Wingdings"/>
              </a:rPr>
              <a:t></a:t>
            </a:r>
            <a:endParaRPr lang="ru-RU" sz="1200" b="1">
              <a:solidFill>
                <a:srgbClr val="FF0000"/>
              </a:solidFill>
            </a:endParaRPr>
          </a:p>
        </cdr:txBody>
      </cdr:sp>
      <cdr:sp macro="" textlink="">
        <cdr:nvSpPr>
          <cdr:cNvPr id="13" name="TextBox 12"/>
          <cdr:cNvSpPr txBox="1"/>
        </cdr:nvSpPr>
        <cdr:spPr>
          <a:xfrm xmlns:a="http://schemas.openxmlformats.org/drawingml/2006/main">
            <a:off x="6349634" y="5557731"/>
            <a:ext cx="210553" cy="23060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200" b="1">
                <a:solidFill>
                  <a:srgbClr val="FF0000"/>
                </a:solidFill>
                <a:sym typeface="Wingdings"/>
              </a:rPr>
              <a:t></a:t>
            </a:r>
            <a:endParaRPr lang="ru-RU" sz="1200" b="1">
              <a:solidFill>
                <a:srgbClr val="FF0000"/>
              </a:solidFill>
            </a:endParaRPr>
          </a:p>
        </cdr:txBody>
      </cdr:sp>
      <cdr:sp macro="" textlink="">
        <cdr:nvSpPr>
          <cdr:cNvPr id="14" name="TextBox 13"/>
          <cdr:cNvSpPr txBox="1"/>
        </cdr:nvSpPr>
        <cdr:spPr>
          <a:xfrm xmlns:a="http://schemas.openxmlformats.org/drawingml/2006/main">
            <a:off x="1306397" y="5545779"/>
            <a:ext cx="210553" cy="23060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200" b="1">
                <a:solidFill>
                  <a:srgbClr val="FF0000"/>
                </a:solidFill>
                <a:sym typeface="Wingdings"/>
              </a:rPr>
              <a:t></a:t>
            </a:r>
            <a:endParaRPr lang="ru-RU" sz="1200" b="1">
              <a:solidFill>
                <a:srgbClr val="FF0000"/>
              </a:solidFill>
            </a:endParaRPr>
          </a:p>
        </cdr:txBody>
      </cdr: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0.09162</cdr:x>
      <cdr:y>0.12742</cdr:y>
    </cdr:from>
    <cdr:to>
      <cdr:x>0.97738</cdr:x>
      <cdr:y>0.97217</cdr:y>
    </cdr:to>
    <cdr:grpSp>
      <cdr:nvGrpSpPr>
        <cdr:cNvPr id="6" name="Группа 5"/>
        <cdr:cNvGrpSpPr/>
      </cdr:nvGrpSpPr>
      <cdr:grpSpPr>
        <a:xfrm xmlns:a="http://schemas.openxmlformats.org/drawingml/2006/main">
          <a:off x="578587" y="361675"/>
          <a:ext cx="5593641" cy="2397781"/>
          <a:chOff x="578278" y="472607"/>
          <a:chExt cx="5590603" cy="2480057"/>
        </a:xfrm>
      </cdr:grpSpPr>
      <cdr:sp macro="" textlink="">
        <cdr:nvSpPr>
          <cdr:cNvPr id="2" name="Прямоугольник 1"/>
          <cdr:cNvSpPr/>
        </cdr:nvSpPr>
        <cdr:spPr>
          <a:xfrm xmlns:a="http://schemas.openxmlformats.org/drawingml/2006/main">
            <a:off x="578278" y="527448"/>
            <a:ext cx="2107740" cy="2395660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FF0000">
              <a:alpha val="21000"/>
            </a:srgbClr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ru-RU"/>
          </a:p>
        </cdr:txBody>
      </cdr:sp>
      <cdr:sp macro="" textlink="">
        <cdr:nvSpPr>
          <cdr:cNvPr id="3" name="Прямоугольник 2"/>
          <cdr:cNvSpPr/>
        </cdr:nvSpPr>
        <cdr:spPr>
          <a:xfrm xmlns:a="http://schemas.openxmlformats.org/drawingml/2006/main">
            <a:off x="4400414" y="496030"/>
            <a:ext cx="1768467" cy="2456634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00B050">
              <a:alpha val="21000"/>
            </a:srgbClr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ru-RU"/>
          </a:p>
        </cdr:txBody>
      </cdr:sp>
      <cdr:sp macro="" textlink="">
        <cdr:nvSpPr>
          <cdr:cNvPr id="4" name="Прямоугольник 3"/>
          <cdr:cNvSpPr/>
        </cdr:nvSpPr>
        <cdr:spPr>
          <a:xfrm xmlns:a="http://schemas.openxmlformats.org/drawingml/2006/main">
            <a:off x="2676502" y="472607"/>
            <a:ext cx="1712161" cy="2460353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tx2">
              <a:lumMod val="75000"/>
              <a:alpha val="21000"/>
            </a:schemeClr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ru-RU"/>
          </a:p>
        </cdr:txBody>
      </cdr:sp>
    </cdr:grp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8FB4A5C5BE4716BD1B4C65BA1324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422D5-5C02-4B62-9BEA-BF5E614165A3}"/>
      </w:docPartPr>
      <w:docPartBody>
        <w:p w:rsidR="00F978A1" w:rsidRDefault="00694A4A" w:rsidP="00694A4A">
          <w:pPr>
            <w:pStyle w:val="6F8FB4A5C5BE4716BD1B4C65BA13242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51CDF"/>
    <w:rsid w:val="000119EB"/>
    <w:rsid w:val="001110DB"/>
    <w:rsid w:val="00351CDF"/>
    <w:rsid w:val="003647A4"/>
    <w:rsid w:val="00694A4A"/>
    <w:rsid w:val="008A0209"/>
    <w:rsid w:val="00DC0FA9"/>
    <w:rsid w:val="00F978A1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0C773C0684EE79C6BE924E09BBB2A">
    <w:name w:val="3C00C773C0684EE79C6BE924E09BBB2A"/>
    <w:rsid w:val="00351CDF"/>
  </w:style>
  <w:style w:type="paragraph" w:customStyle="1" w:styleId="0241D09D73434CA486D6CD5779A68EAF">
    <w:name w:val="0241D09D73434CA486D6CD5779A68EAF"/>
    <w:rsid w:val="00351CDF"/>
  </w:style>
  <w:style w:type="paragraph" w:customStyle="1" w:styleId="5B2EBC989F23428682C16BE49098E23C">
    <w:name w:val="5B2EBC989F23428682C16BE49098E23C"/>
    <w:rsid w:val="00351CDF"/>
  </w:style>
  <w:style w:type="paragraph" w:customStyle="1" w:styleId="474E980E30E341EC9FB05E8711BC1522">
    <w:name w:val="474E980E30E341EC9FB05E8711BC1522"/>
    <w:rsid w:val="00351CDF"/>
  </w:style>
  <w:style w:type="paragraph" w:customStyle="1" w:styleId="13C6B000703D4192B704F987AEFC2E38">
    <w:name w:val="13C6B000703D4192B704F987AEFC2E38"/>
    <w:rsid w:val="00351CDF"/>
  </w:style>
  <w:style w:type="paragraph" w:customStyle="1" w:styleId="95508D9C89484FC9B4AA92ACA12D7708">
    <w:name w:val="95508D9C89484FC9B4AA92ACA12D7708"/>
    <w:rsid w:val="00351CDF"/>
  </w:style>
  <w:style w:type="paragraph" w:customStyle="1" w:styleId="6F8FB4A5C5BE4716BD1B4C65BA132422">
    <w:name w:val="6F8FB4A5C5BE4716BD1B4C65BA132422"/>
    <w:rsid w:val="00694A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</vt:lpstr>
    </vt:vector>
  </TitlesOfParts>
  <Company>ГАУ ДПО СОИРО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</dc:title>
  <dc:subject>проведения диагностических работ для оценки                    метапредметных результатов обучающихся 9-х классов</dc:subject>
  <dc:creator>Отдел мониторинга и оценки качества образования</dc:creator>
  <cp:keywords/>
  <dc:description/>
  <cp:lastModifiedBy>Васинова</cp:lastModifiedBy>
  <cp:revision>15</cp:revision>
  <dcterms:created xsi:type="dcterms:W3CDTF">2020-02-10T07:24:00Z</dcterms:created>
  <dcterms:modified xsi:type="dcterms:W3CDTF">2020-07-24T06:52:00Z</dcterms:modified>
</cp:coreProperties>
</file>