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3A363C" w:rsidRPr="00D47E00" w:rsidTr="00EA0903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Название"/>
            <w:id w:val="988129041"/>
            <w:placeholder>
              <w:docPart w:val="14D325953A484B33A5FA90222B64111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3A363C" w:rsidRPr="00D47E00" w:rsidRDefault="003A363C" w:rsidP="00EA090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Анализ результатов</w:t>
                </w:r>
              </w:p>
            </w:tc>
          </w:sdtContent>
        </w:sdt>
      </w:tr>
      <w:tr w:rsidR="003A363C" w:rsidRPr="00D47E00" w:rsidTr="00EA0903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-193750412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A363C" w:rsidRPr="00D47E00" w:rsidRDefault="003A363C" w:rsidP="00EA090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проведения диагностической работы для оценки 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метапредметных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результатов обучающихся 10-х классов</w:t>
                </w:r>
              </w:p>
            </w:tc>
          </w:sdtContent>
        </w:sdt>
      </w:tr>
    </w:tbl>
    <w:p w:rsidR="003A363C" w:rsidRDefault="003A363C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C44" w:rsidRDefault="00AD2C44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 для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обучающихся 10-х классов проводилась на основании приказа Департамента Смоленской области по образованию и науке от 08.10.2019 №844-ОД.</w:t>
      </w:r>
    </w:p>
    <w:p w:rsidR="00AD2C44" w:rsidRDefault="00AD2C44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проведения: диагностика </w:t>
      </w:r>
      <w:r w:rsidR="003A363C"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достижения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результатов освоения основной образовательной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C44" w:rsidRDefault="00AD2C44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обучающихся, а именно:</w:t>
      </w:r>
    </w:p>
    <w:p w:rsidR="00AD2C44" w:rsidRDefault="00AD2C44" w:rsidP="00AD2C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содержании текста, отвечать на вопросы, используя явно заданную в тексте информацию;</w:t>
      </w:r>
    </w:p>
    <w:p w:rsidR="00AD2C44" w:rsidRDefault="00AD2C44" w:rsidP="00AD2C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Интерпретировать информацию, отвечать на вопросы, используя неявно заданную информацию;</w:t>
      </w:r>
    </w:p>
    <w:p w:rsidR="00AD2C44" w:rsidRDefault="00AD2C44" w:rsidP="00AD2C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Преобразовывать модели из одной знаковой системы в другую (таблицы, схемы, графики, диаграммы, рисунки и др.);</w:t>
      </w:r>
    </w:p>
    <w:p w:rsidR="00AD2C44" w:rsidRDefault="00AD2C44" w:rsidP="00AD2C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достоверность предложенной информации, строить оценочные суждения на основе текста.</w:t>
      </w:r>
    </w:p>
    <w:p w:rsidR="00AD2C44" w:rsidRDefault="00AD2C44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диагностики разработаны контрольно-измерительные материалы, включающие тексты заданий в двух вариантах одинаковой сложности, спецификацию и кодификатор работы, ответы и критерии оценивания, а также шкалу перевода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 в пятибалльную отметку. </w:t>
      </w:r>
    </w:p>
    <w:p w:rsidR="00AD2C44" w:rsidRPr="00AD2C44" w:rsidRDefault="00AD2C44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включала</w:t>
      </w:r>
      <w:r w:rsidRPr="00AD2C44">
        <w:rPr>
          <w:rFonts w:ascii="Times New Roman" w:hAnsi="Times New Roman" w:cs="Times New Roman"/>
          <w:sz w:val="28"/>
          <w:szCs w:val="28"/>
        </w:rPr>
        <w:t xml:space="preserve"> в себя текст и задания к нему. Общее количество заданий – 8, из них: 5 заданий базового уровня, 3 задания повышенного уровня. Работа включала задания разного типа представления ответа: 3 задания – с кратким ответом; 5 заданий с развернутым ответом.</w:t>
      </w:r>
    </w:p>
    <w:p w:rsidR="00AD2C44" w:rsidRPr="00AD2C44" w:rsidRDefault="00AD2C44" w:rsidP="00AD2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C44">
        <w:rPr>
          <w:rFonts w:ascii="Times New Roman" w:hAnsi="Times New Roman" w:cs="Times New Roman"/>
          <w:sz w:val="28"/>
          <w:szCs w:val="28"/>
        </w:rPr>
        <w:t>Максимально возможный балл за выполнение работы составил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2C44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AD2C44" w:rsidRDefault="00AD2C44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Результаты выполнения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731B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-х классов следующие.</w:t>
      </w:r>
    </w:p>
    <w:p w:rsidR="006D731B" w:rsidRDefault="006D731B" w:rsidP="006D73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Работу выполняли 3078 десятиклассников из 197 образовательных организаций Смоленской области. Средний процент выполнения работы составил 57,1%, средняя отметка 3,3. На диаграмме 1 представлен средний процент выполнения работы по административно-территориальным единицам (АТЕ).</w:t>
      </w:r>
    </w:p>
    <w:p w:rsidR="006D731B" w:rsidRDefault="006D731B" w:rsidP="006D73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Диаграмма 1. Процент выполнения работы по АТЕ.</w:t>
      </w:r>
    </w:p>
    <w:p w:rsidR="006D731B" w:rsidRDefault="006D731B" w:rsidP="006D73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05225" cy="6724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731B" w:rsidRDefault="006D731B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диаграмме заметна существенная дифференциация результатов обучающихся по муниципальным образованиям. Разброс результатов составляет 42,2%. Лучшие результаты выполнения работы продемонстрировали обучающиеся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Ершичского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(% выполнения 76,5),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Сычёвского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(74,1%),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Новодугинского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(69,7%) районов. Самые низкие результаты выполнения диагностической работы получены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Хиславичского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(34,1% выполнения), </w:t>
      </w:r>
      <w:proofErr w:type="spellStart"/>
      <w:r w:rsidR="001C720A">
        <w:rPr>
          <w:rFonts w:ascii="Times New Roman" w:eastAsia="Times New Roman" w:hAnsi="Times New Roman"/>
          <w:sz w:val="28"/>
          <w:szCs w:val="28"/>
        </w:rPr>
        <w:t>Починковского</w:t>
      </w:r>
      <w:proofErr w:type="spellEnd"/>
      <w:r w:rsidR="001C720A">
        <w:rPr>
          <w:rFonts w:ascii="Times New Roman" w:eastAsia="Times New Roman" w:hAnsi="Times New Roman"/>
          <w:sz w:val="28"/>
          <w:szCs w:val="28"/>
        </w:rPr>
        <w:t xml:space="preserve"> (46,2%), </w:t>
      </w:r>
      <w:proofErr w:type="spellStart"/>
      <w:r w:rsidR="001C720A">
        <w:rPr>
          <w:rFonts w:ascii="Times New Roman" w:eastAsia="Times New Roman" w:hAnsi="Times New Roman"/>
          <w:sz w:val="28"/>
          <w:szCs w:val="28"/>
        </w:rPr>
        <w:t>Сафоновского</w:t>
      </w:r>
      <w:proofErr w:type="spellEnd"/>
      <w:r w:rsidR="001C720A">
        <w:rPr>
          <w:rFonts w:ascii="Times New Roman" w:eastAsia="Times New Roman" w:hAnsi="Times New Roman"/>
          <w:sz w:val="28"/>
          <w:szCs w:val="28"/>
        </w:rPr>
        <w:t xml:space="preserve"> (48,5%) районов.</w:t>
      </w:r>
    </w:p>
    <w:p w:rsidR="001C720A" w:rsidRDefault="001C720A" w:rsidP="001C72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за выполнение работы баллов, были определены уровни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(далее – МПР) обучающимися 10-х классов. На диаграмме 2 показано 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уровням освоения МПР.</w:t>
      </w:r>
    </w:p>
    <w:p w:rsidR="001C720A" w:rsidRDefault="001C720A" w:rsidP="001C72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2. Распределение обучающихся 10-х классов по уровням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</w:t>
      </w:r>
      <w:r w:rsidR="00DA292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1C720A" w:rsidRDefault="001C720A" w:rsidP="001C72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57529" cy="3491035"/>
            <wp:effectExtent l="0" t="0" r="2413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9DD" w:rsidRDefault="001C720A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видим, подавляющее большинство обучающихся продемонстрировало овладение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результатами на базовом уровне (три четверти десятиклассников, выполнявших работу). Примерно каждый шестой обучающийся (15,4%) продемонстрировал овладение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результатами на повышенном уровне. Эти данные позволяют говорить о том, что 90,6% десятиклассников успешно осваивают образовательные программы, а также показывают способность и готовность к продолжению образования.</w:t>
      </w:r>
      <w:r w:rsidR="009F09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720A" w:rsidRDefault="009F09DD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Пониженный уровень освоения результатов показали 9,3% десятиклассников, причём 24 человека (0,78%) набрали 0 и 1 балл за работу, то есть продемонстрировали абсолютную некомпетентность. Отсутствие необходимых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умений затрудняет усвоение учебных предметов. В связи с вышеизложенным педагогам необходимо продумать и реализовать программу коррекции имеющихся результатов и ликвидации пробелов.</w:t>
      </w:r>
    </w:p>
    <w:p w:rsidR="009F09DD" w:rsidRDefault="009F09DD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диаграмме 3 представлено распределение обучающихся 10-х классов по набранным баллам.</w:t>
      </w:r>
    </w:p>
    <w:p w:rsidR="002C28D4" w:rsidRDefault="009F09DD" w:rsidP="002C28D4">
      <w:pPr>
        <w:tabs>
          <w:tab w:val="left" w:pos="121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3. Распределение обучающихся по </w:t>
      </w:r>
      <w:r w:rsidR="002C28D4">
        <w:rPr>
          <w:rFonts w:ascii="Times New Roman" w:hAnsi="Times New Roman" w:cs="Times New Roman"/>
          <w:sz w:val="28"/>
          <w:szCs w:val="28"/>
        </w:rPr>
        <w:t>количеству набранных за выполнение работы баллов</w:t>
      </w:r>
    </w:p>
    <w:p w:rsidR="009F09DD" w:rsidRDefault="000E79F1" w:rsidP="009F09DD">
      <w:pPr>
        <w:tabs>
          <w:tab w:val="left" w:pos="12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C3F18">
        <w:rPr>
          <w:noProof/>
          <w:lang w:eastAsia="ru-RU"/>
        </w:rPr>
        <w:pict>
          <v:group id="Группа 1" o:spid="_x0000_s1026" style="position:absolute;left:0;text-align:left;margin-left:-2.95pt;margin-top:15.3pt;width:466.2pt;height:264.15pt;z-index:251659264;mso-height-relative:margin" coordorigin="768,19074" coordsize="75519,37324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Диаграмма 11" o:spid="_x0000_s1027" type="#_x0000_t75" style="position:absolute;left:706;top:19007;width:75639;height:374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bvx&#10;f8UAAADbAAAADwAAAGRycy9kb3ducmV2LnhtbESPT4vCMBDF7wt+hzCCtzWtB5WuUVQU/+xBdFcW&#10;b0MztsVmUpqo9dsbYcHbDO/N+70ZTRpTihvVrrCsIO5GIIhTqwvOFPz+LD+HIJxH1lhaJgUPcjAZ&#10;tz5GmGh75z3dDj4TIYRdggpy76tESpfmZNB1bUUctLOtDfqw1pnUNd5DuCllL4r60mDBgZBjRfOc&#10;0svhagLEb9en8q8/2wzS43C1OMfz791RqU67mX6B8NT4t/n/eq1D/Rhev4QB5PgJ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Lbvxf8UAAADbAAAADwAAAAAAAAAAAAAAAACbAgAAZHJz&#10;L2Rvd25yZXYueG1sUEsFBgAAAAAEAAQA8wAAAI0DAAAAAA==&#10;">
              <v:imagedata r:id="rId7" o:title=""/>
              <o:lock v:ext="edit" aspectratio="f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Правая фигурная скобка 12" o:spid="_x0000_s1028" type="#_x0000_t88" style="position:absolute;left:15557;top:41402;width:1911;height:2201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9GsEA&#10;AADbAAAADwAAAGRycy9kb3ducmV2LnhtbERPzWoCMRC+F/oOYQpeimaVKmVrFBFaPepuH2DYjJvF&#10;ZLLdRF19elMQvM3H9zvzZe+sOFMXGs8KxqMMBHHldcO1gt/ye/gJIkRkjdYzKbhSgOXi9WWOufYX&#10;3tO5iLVIIRxyVGBibHMpQ2XIYRj5ljhxB985jAl2tdQdXlK4s3KSZTPpsOHUYLCltaHqWJycgk31&#10;3pR2ut/Oxn8/Znf7KI8re1Nq8NavvkBE6uNT/HBvdZo/gf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/RrBAAAA2wAAAA8AAAAAAAAAAAAAAAAAmAIAAGRycy9kb3du&#10;cmV2LnhtbFBLBQYAAAAABAAEAPUAAACGAwAAAAA=&#10;" adj="156" strokecolor="black [3213]">
              <v:textbox>
                <w:txbxContent>
                  <w:p w:rsidR="006F3B36" w:rsidRDefault="006F3B36" w:rsidP="006F3B3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Правая фигурная скобка 13" o:spid="_x0000_s1029" type="#_x0000_t88" style="position:absolute;left:42639;top:36536;width:2047;height:316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uZsEA&#10;AADbAAAADwAAAGRycy9kb3ducmV2LnhtbERPTWvCQBC9C/6HZQQvpW5UKJK6itiKYg8SlZ6H3WkS&#10;zc6G7BrTf98VCt7m8T5nvuxsJVpqfOlYwXiUgCDWzpScKzifNq8zED4gG6wck4Jf8rBc9HtzTI27&#10;c0btMeQihrBPUUERQp1K6XVBFv3I1cSR+3GNxRBhk0vT4D2G20pOkuRNWiw5NhRY07ogfT3erILk&#10;87y90Pfhw7m9bmWub9nX+EWp4aBbvYMI1IWn+N+9M3H+FB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wrmbBAAAA2wAAAA8AAAAAAAAAAAAAAAAAmAIAAGRycy9kb3du&#10;cmV2LnhtbFBLBQYAAAAABAAEAPUAAACGAwAAAAA=&#10;" adj="117" strokecolor="black [3213]">
              <v:textbox>
                <w:txbxContent>
                  <w:p w:rsidR="006F3B36" w:rsidRDefault="006F3B36" w:rsidP="006F3B3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Правая фигурная скобка 14" o:spid="_x0000_s1030" type="#_x0000_t88" style="position:absolute;left:65887;top:45270;width:1911;height:1428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LS8AA&#10;AADbAAAADwAAAGRycy9kb3ducmV2LnhtbERPzWrCQBC+F3yHZYReitm0iEiaVULAtCfF6AMM2Wmy&#10;mJ0N2a2mb98VBG/z8f1Ovp1sL640euNYwXuSgiBunDbcKjifdos1CB+QNfaOScEfedhuZi85Ztrd&#10;+EjXOrQihrDPUEEXwpBJ6ZuOLPrEDcSR+3GjxRDh2Eo94i2G215+pOlKWjQcGzocqOyoudS/VsGX&#10;MW+2aFZ0qEqjq+JMJ7vfK/U6n4pPEIGm8BQ/3N86zl/C/Zd4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lLS8AAAADbAAAADwAAAAAAAAAAAAAAAACYAgAAZHJzL2Rvd25y&#10;ZXYueG1sUEsFBgAAAAAEAAQA9QAAAIUDAAAAAA==&#10;" adj="241" strokecolor="black [3213]">
              <v:textbox>
                <w:txbxContent>
                  <w:p w:rsidR="006F3B36" w:rsidRDefault="006F3B36" w:rsidP="006F3B3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left:4762;top:53813;width:68988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8IMQA&#10;AADbAAAADwAAAGRycy9kb3ducmV2LnhtbERPTWvCQBC9F/wPywi9FLOp0NJEVxGhpfQgjZbgcciO&#10;STA7G7Jrkvrr3ULB2zze5yzXo2lET52rLSt4jmIQxIXVNZcKfg7vszcQziNrbCyTgl9ysF5NHpaY&#10;ajtwRv3elyKEsEtRQeV9m0rpiooMusi2xIE72c6gD7Arpe5wCOGmkfM4fpUGaw4NFba0rag47y9G&#10;wdMx2SRY0+Frnid5dv2+ZNePnVKP03GzAOFp9Hfxv/tTh/kv8PdLO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2/CDEAAAA2wAAAA8AAAAAAAAAAAAAAAAAmAIAAGRycy9k&#10;b3ducmV2LnhtbFBLBQYAAAAABAAEAPUAAACJAwAAAAA=&#10;" fillcolor="white [3201]" stroked="f">
              <v:textbox>
                <w:txbxContent>
                  <w:p w:rsidR="006F3B36" w:rsidRDefault="006F3B36" w:rsidP="006F3B36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  <w:t xml:space="preserve">                Пониженный уровень                                 Базовый уровень                                             Повышенный уровень</w:t>
                    </w:r>
                  </w:p>
                </w:txbxContent>
              </v:textbox>
            </v:shape>
          </v:group>
        </w:pict>
      </w:r>
    </w:p>
    <w:p w:rsidR="009F09DD" w:rsidRDefault="009F09DD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D2C44" w:rsidRDefault="00AD2C44" w:rsidP="00AD2C4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3B36" w:rsidRDefault="006F3B36"/>
    <w:p w:rsidR="006F3B36" w:rsidRPr="006F3B36" w:rsidRDefault="006F3B36" w:rsidP="006F3B36"/>
    <w:p w:rsidR="006F3B36" w:rsidRPr="006F3B36" w:rsidRDefault="006F3B36" w:rsidP="006F3B36"/>
    <w:p w:rsidR="006F3B36" w:rsidRPr="006F3B36" w:rsidRDefault="006F3B36" w:rsidP="006F3B36"/>
    <w:p w:rsidR="006F3B36" w:rsidRPr="006F3B36" w:rsidRDefault="006F3B36" w:rsidP="006F3B36"/>
    <w:p w:rsidR="006F3B36" w:rsidRPr="006F3B36" w:rsidRDefault="006F3B36" w:rsidP="006F3B36"/>
    <w:p w:rsidR="006F3B36" w:rsidRPr="006F3B36" w:rsidRDefault="006F3B36" w:rsidP="006F3B36"/>
    <w:p w:rsidR="006F3B36" w:rsidRPr="006F3B36" w:rsidRDefault="006F3B36" w:rsidP="006F3B36"/>
    <w:p w:rsidR="006F3B36" w:rsidRDefault="006F3B36" w:rsidP="006F3B36"/>
    <w:p w:rsidR="00D7364F" w:rsidRDefault="006F3B36" w:rsidP="006F3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данной диаграмме видим наличие нормального распределения результатов. </w:t>
      </w:r>
      <w:r w:rsidRPr="006F3B36">
        <w:rPr>
          <w:rFonts w:ascii="Times New Roman" w:eastAsia="Times New Roman" w:hAnsi="Times New Roman"/>
          <w:sz w:val="28"/>
          <w:szCs w:val="28"/>
        </w:rPr>
        <w:t xml:space="preserve">Обратим внимание </w:t>
      </w:r>
      <w:bookmarkStart w:id="0" w:name="_GoBack"/>
      <w:bookmarkEnd w:id="0"/>
      <w:r w:rsidRPr="006F3B36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 xml:space="preserve">появление локальных максимумов, соответствующих получению за работу 6 и 13 баллов. В первом случае набранный балл соответствовал минимальной границе, необходимой для получения отметки «3» за работу; во втором случае – минимальной границе отметки «4». Эти факты свидетельствуют о недостаточной объективности оценивания, стремлении завысить результаты для получения более высокой отметки. </w:t>
      </w:r>
      <w:r>
        <w:rPr>
          <w:rFonts w:ascii="Times New Roman" w:hAnsi="Times New Roman" w:cs="Times New Roman"/>
          <w:sz w:val="28"/>
          <w:szCs w:val="28"/>
        </w:rPr>
        <w:t>Данная тенденция характерна и для результатов других региональных диагностик качества образования.</w:t>
      </w:r>
    </w:p>
    <w:p w:rsidR="006F3B36" w:rsidRDefault="0097742E" w:rsidP="006F3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заданий работы. Работа включала 8 заданий, из которых 3 задания базового уровня оценивались в 1 балл, 2 задания базового уровня оценивались в 3 балла и 3 задания повышенного уровня оценивались в 3 балла. На диаграмме 4 показан процент выполнения каждого задания работы. Полностью выполненное задание подразумевает получение максимального балла, частичное выполнение трёхбалльных заданий означает получение школьниками за его выполнение 1 или 2 баллов.</w:t>
      </w:r>
    </w:p>
    <w:p w:rsidR="0097742E" w:rsidRDefault="0097742E" w:rsidP="006F3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4. Процент выполнения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 10-х классов.</w:t>
      </w:r>
    </w:p>
    <w:p w:rsidR="0097742E" w:rsidRDefault="0097742E" w:rsidP="006F3B3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9360" cy="4634446"/>
            <wp:effectExtent l="0" t="0" r="22860" b="139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42E" w:rsidRDefault="0097742E" w:rsidP="00F636EE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Умение, диагностируемое заданием базового уровня, считается усвоенным, если процент его выполнения 67%, а для заданий повышенного уровня – 50%.</w:t>
      </w:r>
    </w:p>
    <w:p w:rsidR="0097742E" w:rsidRDefault="00442BB5" w:rsidP="00F636EE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видим, что на базовом уровне освоены умения:</w:t>
      </w:r>
    </w:p>
    <w:p w:rsidR="00442BB5" w:rsidRPr="00751030" w:rsidRDefault="00442BB5" w:rsidP="00751030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bCs/>
          <w:iCs/>
          <w:sz w:val="28"/>
          <w:szCs w:val="28"/>
        </w:rPr>
      </w:pPr>
      <w:r w:rsidRPr="00751030">
        <w:rPr>
          <w:bCs/>
          <w:iCs/>
          <w:sz w:val="28"/>
          <w:szCs w:val="28"/>
        </w:rPr>
        <w:t>Давать определения понятиям, подводить под понятие (87% выполнения);</w:t>
      </w:r>
    </w:p>
    <w:p w:rsidR="00442BB5" w:rsidRPr="00751030" w:rsidRDefault="00442BB5" w:rsidP="00751030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bCs/>
          <w:iCs/>
          <w:sz w:val="28"/>
          <w:szCs w:val="28"/>
        </w:rPr>
      </w:pPr>
      <w:r w:rsidRPr="00751030">
        <w:rPr>
          <w:bCs/>
          <w:iCs/>
          <w:sz w:val="28"/>
          <w:szCs w:val="28"/>
        </w:rPr>
        <w:lastRenderedPageBreak/>
        <w:t>Ориентироваться в содержании текста, отвечать на вопросы, используя явно и неявно заданную в тексте информацию, преобразовывать модели из одной зна</w:t>
      </w:r>
      <w:r w:rsidR="00F636EE" w:rsidRPr="00751030">
        <w:rPr>
          <w:bCs/>
          <w:iCs/>
          <w:sz w:val="28"/>
          <w:szCs w:val="28"/>
        </w:rPr>
        <w:t>ковой системы в другую (таблица</w:t>
      </w:r>
      <w:r w:rsidRPr="00751030">
        <w:rPr>
          <w:bCs/>
          <w:iCs/>
          <w:sz w:val="28"/>
          <w:szCs w:val="28"/>
        </w:rPr>
        <w:t>) (74% выполнения);</w:t>
      </w:r>
    </w:p>
    <w:p w:rsidR="00442BB5" w:rsidRPr="00751030" w:rsidRDefault="00442BB5" w:rsidP="00751030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751030">
        <w:rPr>
          <w:rFonts w:eastAsia="Arial Unicode MS"/>
          <w:sz w:val="28"/>
          <w:szCs w:val="28"/>
        </w:rPr>
        <w:t xml:space="preserve">Интерпретировать информацию, отвечать на вопросы, используя неявно заданную информацию </w:t>
      </w:r>
      <w:r w:rsidRPr="00751030">
        <w:rPr>
          <w:bCs/>
          <w:iCs/>
          <w:sz w:val="28"/>
          <w:szCs w:val="28"/>
        </w:rPr>
        <w:t>(74% выполнения).</w:t>
      </w:r>
    </w:p>
    <w:p w:rsidR="00F636EE" w:rsidRDefault="00F636EE" w:rsidP="00F636EE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Несколько хуже обучающиеся выполнили задания базового уровня №№ 3 и 4, в которых диагностировалось умение  </w:t>
      </w:r>
      <w:r w:rsidRPr="00442BB5">
        <w:rPr>
          <w:rFonts w:ascii="Times New Roman" w:hAnsi="Times New Roman"/>
          <w:bCs/>
          <w:iCs/>
          <w:sz w:val="28"/>
          <w:szCs w:val="28"/>
        </w:rPr>
        <w:t>п</w:t>
      </w:r>
      <w:r w:rsidRPr="00B56110">
        <w:rPr>
          <w:rFonts w:ascii="Times New Roman" w:hAnsi="Times New Roman"/>
          <w:bCs/>
          <w:iCs/>
          <w:sz w:val="28"/>
          <w:szCs w:val="28"/>
        </w:rPr>
        <w:t>реобразовывать модели из одной зна</w:t>
      </w:r>
      <w:r>
        <w:rPr>
          <w:rFonts w:ascii="Times New Roman" w:hAnsi="Times New Roman"/>
          <w:bCs/>
          <w:iCs/>
          <w:sz w:val="28"/>
          <w:szCs w:val="28"/>
        </w:rPr>
        <w:t>ковой системы в другую (схема, график</w:t>
      </w:r>
      <w:r w:rsidRPr="00B56110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 xml:space="preserve">. Процент обучающихся, выполнивших эти задания (т.е., получивших за него 3 или 2 балла), составил для задания №3 (на схему) 63%, а для задания №4(на график) 59%. Это несколько ниже процента усвоения. Данный результат свидетельствует о том, что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метапредметное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умение </w:t>
      </w:r>
      <w:r w:rsidRPr="00442BB5">
        <w:rPr>
          <w:rFonts w:ascii="Times New Roman" w:hAnsi="Times New Roman"/>
          <w:bCs/>
          <w:iCs/>
          <w:sz w:val="28"/>
          <w:szCs w:val="28"/>
        </w:rPr>
        <w:t>п</w:t>
      </w:r>
      <w:r w:rsidRPr="00B56110">
        <w:rPr>
          <w:rFonts w:ascii="Times New Roman" w:hAnsi="Times New Roman"/>
          <w:bCs/>
          <w:iCs/>
          <w:sz w:val="28"/>
          <w:szCs w:val="28"/>
        </w:rPr>
        <w:t>реобразовывать модели из одной зна</w:t>
      </w:r>
      <w:r>
        <w:rPr>
          <w:rFonts w:ascii="Times New Roman" w:hAnsi="Times New Roman"/>
          <w:bCs/>
          <w:iCs/>
          <w:sz w:val="28"/>
          <w:szCs w:val="28"/>
        </w:rPr>
        <w:t>ковой системы в другую усвоено лишь частично, и его корректное применение зависит от формы предъявления задания.</w:t>
      </w:r>
    </w:p>
    <w:p w:rsidR="00F636EE" w:rsidRDefault="00F636EE" w:rsidP="00F636EE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повышенном уровне усвоены умения:</w:t>
      </w:r>
    </w:p>
    <w:p w:rsidR="00F636EE" w:rsidRPr="00751030" w:rsidRDefault="00F636EE" w:rsidP="00751030">
      <w:pPr>
        <w:pStyle w:val="a5"/>
        <w:numPr>
          <w:ilvl w:val="0"/>
          <w:numId w:val="3"/>
        </w:numPr>
        <w:jc w:val="both"/>
        <w:rPr>
          <w:rFonts w:eastAsia="Arial Unicode MS"/>
          <w:sz w:val="28"/>
          <w:szCs w:val="28"/>
        </w:rPr>
      </w:pPr>
      <w:r w:rsidRPr="00751030">
        <w:rPr>
          <w:rFonts w:eastAsia="Arial Unicode MS"/>
          <w:sz w:val="28"/>
          <w:szCs w:val="28"/>
        </w:rPr>
        <w:t>Оценивать достоверность предложенной информации, строить оценочные суждения на основе текста</w:t>
      </w:r>
      <w:r w:rsidR="00751030" w:rsidRPr="00751030">
        <w:rPr>
          <w:rFonts w:eastAsia="Arial Unicode MS"/>
          <w:sz w:val="28"/>
          <w:szCs w:val="28"/>
        </w:rPr>
        <w:t xml:space="preserve"> (58% усвоения – столько % обучающихся выполнили задание на 3 или 2 балла);</w:t>
      </w:r>
    </w:p>
    <w:p w:rsidR="00751030" w:rsidRPr="00751030" w:rsidRDefault="00751030" w:rsidP="00751030">
      <w:pPr>
        <w:pStyle w:val="a5"/>
        <w:numPr>
          <w:ilvl w:val="0"/>
          <w:numId w:val="3"/>
        </w:numPr>
        <w:jc w:val="both"/>
        <w:rPr>
          <w:rFonts w:eastAsia="Arial Unicode MS"/>
          <w:sz w:val="28"/>
          <w:szCs w:val="28"/>
        </w:rPr>
      </w:pPr>
      <w:r w:rsidRPr="00751030">
        <w:rPr>
          <w:rFonts w:eastAsia="Arial Unicode MS"/>
          <w:sz w:val="28"/>
          <w:szCs w:val="28"/>
        </w:rPr>
        <w:t>Выделять главное, преобразовывать модели из одной знаковой системы в другую (таблица) – 51% усвоения.</w:t>
      </w:r>
    </w:p>
    <w:p w:rsidR="00751030" w:rsidRDefault="00751030" w:rsidP="00751030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Лишь немногим хуже выполнено задание №7, диагностирующее умения с</w:t>
      </w:r>
      <w:r w:rsidRPr="00B56110">
        <w:rPr>
          <w:rFonts w:ascii="Times New Roman" w:eastAsia="Arial Unicode MS" w:hAnsi="Times New Roman"/>
          <w:sz w:val="28"/>
          <w:szCs w:val="28"/>
        </w:rPr>
        <w:t>оздавать собственные тексты, применять информацию из текста при решении учебно-практических задач</w:t>
      </w:r>
      <w:r>
        <w:rPr>
          <w:rFonts w:ascii="Times New Roman" w:eastAsia="Arial Unicode MS" w:hAnsi="Times New Roman"/>
          <w:sz w:val="28"/>
          <w:szCs w:val="28"/>
        </w:rPr>
        <w:t xml:space="preserve"> (49,7% усвоения). Обучающимся предлагалось написать эссе (3 – 5 предложений). Как видим, умение высказывать собственное суждение, размышлять о предложенной проблеме пока находится в стадии формирования. Уровень освоения по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нему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не достигнут.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 обучающиеся 10-х классов образовательных организаций Смоленской области продемонстрировали усвоение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образовательной программы среднего общего образования, диагностируемых в рамках данной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75,2%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показали базовый уровень освоения МПР, 15,4% - повышенный уровень. Эти данные позволяют говорить о наличии системы формирования МПР в образовательных организациях области.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9,3% всех участников работы продемонстрировали пониженный уровень освоения МПР, что говорит о наличии проблем в данной группе обучающихся при получении ими среднего общего образования. Причём, около 0,78% девятиклассников показали крайне низкие результаты, получив за работу 0 – 1 балл.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 xml:space="preserve">3. На базовом уровне освоены умения: </w:t>
      </w:r>
      <w:r>
        <w:rPr>
          <w:rFonts w:ascii="Times New Roman" w:hAnsi="Times New Roman"/>
          <w:bCs/>
          <w:iCs/>
          <w:sz w:val="28"/>
          <w:szCs w:val="28"/>
        </w:rPr>
        <w:t>д</w:t>
      </w:r>
      <w:r w:rsidRPr="00751030">
        <w:rPr>
          <w:rFonts w:ascii="Times New Roman" w:hAnsi="Times New Roman"/>
          <w:bCs/>
          <w:iCs/>
          <w:sz w:val="28"/>
          <w:szCs w:val="28"/>
        </w:rPr>
        <w:t>авать определения понятиям, подводить под понятие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75103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133">
        <w:rPr>
          <w:rFonts w:ascii="Times New Roman" w:hAnsi="Times New Roman" w:cs="Times New Roman"/>
          <w:sz w:val="28"/>
          <w:szCs w:val="28"/>
        </w:rPr>
        <w:t>риентироваться в содержании текста, отвечать на вопросы, используя явно заданную в тексте инфор</w:t>
      </w:r>
      <w:r>
        <w:rPr>
          <w:rFonts w:ascii="Times New Roman" w:hAnsi="Times New Roman" w:cs="Times New Roman"/>
          <w:sz w:val="28"/>
          <w:szCs w:val="28"/>
        </w:rPr>
        <w:t>мацию, и п</w:t>
      </w:r>
      <w:r w:rsidRPr="00B45133">
        <w:rPr>
          <w:rFonts w:ascii="Times New Roman" w:hAnsi="Times New Roman" w:cs="Times New Roman"/>
          <w:sz w:val="28"/>
          <w:szCs w:val="28"/>
        </w:rPr>
        <w:t>реобразовывать модели из одной знаковой си</w:t>
      </w:r>
      <w:r>
        <w:rPr>
          <w:rFonts w:ascii="Times New Roman" w:hAnsi="Times New Roman" w:cs="Times New Roman"/>
          <w:sz w:val="28"/>
          <w:szCs w:val="28"/>
        </w:rPr>
        <w:t>стемы в другую (таблицы</w:t>
      </w:r>
      <w:r w:rsidRPr="00B45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усвоены на базовом уровне умения: п</w:t>
      </w:r>
      <w:r w:rsidRPr="00B45133">
        <w:rPr>
          <w:rFonts w:ascii="Times New Roman" w:hAnsi="Times New Roman" w:cs="Times New Roman"/>
          <w:sz w:val="28"/>
          <w:szCs w:val="28"/>
        </w:rPr>
        <w:t>реобразовывать модели из одной знаковой си</w:t>
      </w:r>
      <w:r>
        <w:rPr>
          <w:rFonts w:ascii="Times New Roman" w:hAnsi="Times New Roman" w:cs="Times New Roman"/>
          <w:sz w:val="28"/>
          <w:szCs w:val="28"/>
        </w:rPr>
        <w:t>стемы в другую (схемы, графики</w:t>
      </w:r>
      <w:r w:rsidRPr="00B45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Однако, полученные результаты достаточно близки к уровню усвоения, что позволяет сделать оптимистичный прогноз освоения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51030" w:rsidRDefault="00751030" w:rsidP="005F4E6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повышенном уровне </w:t>
      </w:r>
      <w:r w:rsidR="005F4E6F">
        <w:rPr>
          <w:rFonts w:ascii="Times New Roman" w:hAnsi="Times New Roman" w:cs="Times New Roman"/>
          <w:sz w:val="28"/>
          <w:szCs w:val="28"/>
        </w:rPr>
        <w:t>усвоены</w:t>
      </w:r>
      <w:r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F4E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6F">
        <w:rPr>
          <w:rFonts w:ascii="Times New Roman" w:hAnsi="Times New Roman" w:cs="Times New Roman"/>
          <w:sz w:val="28"/>
          <w:szCs w:val="28"/>
        </w:rPr>
        <w:t>о</w:t>
      </w:r>
      <w:r w:rsidR="005F4E6F" w:rsidRPr="005F4E6F">
        <w:rPr>
          <w:rFonts w:ascii="Times New Roman" w:hAnsi="Times New Roman" w:cs="Times New Roman"/>
          <w:sz w:val="28"/>
          <w:szCs w:val="28"/>
        </w:rPr>
        <w:t>ценивать достоверность предложенной информации, строить оценочные суждения на основе текста</w:t>
      </w:r>
      <w:r w:rsidR="005F4E6F">
        <w:rPr>
          <w:rFonts w:ascii="Times New Roman" w:hAnsi="Times New Roman" w:cs="Times New Roman"/>
          <w:sz w:val="28"/>
          <w:szCs w:val="28"/>
        </w:rPr>
        <w:t>;</w:t>
      </w:r>
      <w:r w:rsidR="005F4E6F" w:rsidRPr="005F4E6F">
        <w:rPr>
          <w:rFonts w:ascii="Times New Roman" w:hAnsi="Times New Roman" w:cs="Times New Roman"/>
          <w:sz w:val="28"/>
          <w:szCs w:val="28"/>
        </w:rPr>
        <w:t xml:space="preserve"> </w:t>
      </w:r>
      <w:r w:rsidR="005F4E6F">
        <w:rPr>
          <w:rFonts w:ascii="Times New Roman" w:hAnsi="Times New Roman" w:cs="Times New Roman"/>
          <w:sz w:val="28"/>
          <w:szCs w:val="28"/>
        </w:rPr>
        <w:t>в</w:t>
      </w:r>
      <w:r w:rsidR="005F4E6F" w:rsidRPr="00751030">
        <w:rPr>
          <w:rFonts w:ascii="Times New Roman" w:eastAsia="Arial Unicode MS" w:hAnsi="Times New Roman"/>
          <w:sz w:val="28"/>
          <w:szCs w:val="28"/>
        </w:rPr>
        <w:t>ыделять главное, преобразовывать модели из одной знаковой системы в другую (таблица)</w:t>
      </w:r>
      <w:r w:rsidR="005F4E6F">
        <w:rPr>
          <w:rFonts w:ascii="Times New Roman" w:eastAsia="Arial Unicode MS" w:hAnsi="Times New Roman"/>
          <w:sz w:val="28"/>
          <w:szCs w:val="28"/>
        </w:rPr>
        <w:t>. Практически немного не хватило для фиксации освоения умения с</w:t>
      </w:r>
      <w:r w:rsidR="005F4E6F" w:rsidRPr="00B56110">
        <w:rPr>
          <w:rFonts w:ascii="Times New Roman" w:eastAsia="Arial Unicode MS" w:hAnsi="Times New Roman"/>
          <w:sz w:val="28"/>
          <w:szCs w:val="28"/>
        </w:rPr>
        <w:t>оздавать собственные тексты, применять информацию из текста при решении учебно-практических задач</w:t>
      </w:r>
      <w:r w:rsidR="005F4E6F">
        <w:rPr>
          <w:rFonts w:ascii="Times New Roman" w:eastAsia="Arial Unicode MS" w:hAnsi="Times New Roman"/>
          <w:sz w:val="28"/>
          <w:szCs w:val="28"/>
        </w:rPr>
        <w:t xml:space="preserve">  на повышенном уровне. </w:t>
      </w:r>
      <w:r>
        <w:rPr>
          <w:rFonts w:ascii="Times New Roman" w:hAnsi="Times New Roman" w:cs="Times New Roman"/>
          <w:sz w:val="28"/>
          <w:szCs w:val="28"/>
        </w:rPr>
        <w:t xml:space="preserve">Однако результаты выполнения заданий на диагностику данного умения позволяют сделать вывод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умения на базовом уровне.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Диаграмма распределения результатов свидетельствует о необъективности оценивания работ с тенденцией к завышению пограничных результатов.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Образовательным организациям области усовершенствовать систему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образовательных программ основного общего образования в направлении формирования умений интерпретировать информацию, представленную в различных формах, а также оценивать представленную информацию, формулировать и аргументировать собственное отношение к ней.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Ввести в образовательный процесс систему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A52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подобных заданий, направленных на формирование читательской, математической и естественнонаучной грамотности обучающихся.</w:t>
      </w:r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Разработать и внедрить систему коррекции результатов освоения основных образовательных программ для обучающихся, продемонстрировавших пониженный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МПР, а также для обучающихся, набравших минимально допустимый балл за выполнение работы (</w:t>
      </w:r>
      <w:r w:rsidR="005F4E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баллов).</w:t>
      </w:r>
      <w:proofErr w:type="gramEnd"/>
    </w:p>
    <w:p w:rsid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Разработать и реализовать систему развития МПР обучающихся, продемонстрировавших базовый и повышенный уровни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Целенаправленно подбирать для этих групп обучающихся задания, способствующие развитию уже имеющихся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442BB5" w:rsidRPr="00751030" w:rsidRDefault="00751030" w:rsidP="007510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Повысить объективность проведения и оценивания диагностических процедур для выявления реальной картины формирования образовательных результатов обучающихся.</w:t>
      </w:r>
    </w:p>
    <w:sectPr w:rsidR="00442BB5" w:rsidRPr="00751030" w:rsidSect="006C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88D"/>
    <w:multiLevelType w:val="hybridMultilevel"/>
    <w:tmpl w:val="040C94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6B2CCE"/>
    <w:multiLevelType w:val="hybridMultilevel"/>
    <w:tmpl w:val="1F4631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6650D1"/>
    <w:multiLevelType w:val="hybridMultilevel"/>
    <w:tmpl w:val="323A2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D1"/>
    <w:rsid w:val="000E79F1"/>
    <w:rsid w:val="001C720A"/>
    <w:rsid w:val="002C28D4"/>
    <w:rsid w:val="003A363C"/>
    <w:rsid w:val="00442BB5"/>
    <w:rsid w:val="005F4E6F"/>
    <w:rsid w:val="006C3F18"/>
    <w:rsid w:val="006D731B"/>
    <w:rsid w:val="006F3B36"/>
    <w:rsid w:val="00751030"/>
    <w:rsid w:val="0097742E"/>
    <w:rsid w:val="009F09DD"/>
    <w:rsid w:val="00AD2C44"/>
    <w:rsid w:val="00B15D88"/>
    <w:rsid w:val="00BD47D1"/>
    <w:rsid w:val="00D359A2"/>
    <w:rsid w:val="00D7364F"/>
    <w:rsid w:val="00DA2923"/>
    <w:rsid w:val="00F6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2C4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D2C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D2C4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C4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F3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2C4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D2C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D2C4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C4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F3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10%20&#1082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10%20&#1082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10%20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numFmt formatCode="#,##0.0" sourceLinked="0"/>
            <c:showVal val="1"/>
          </c:dLbls>
          <c:cat>
            <c:strRef>
              <c:f>'по районам'!$B$6:$B$32</c:f>
              <c:strCache>
                <c:ptCount val="27"/>
                <c:pt idx="0">
                  <c:v>Велижский</c:v>
                </c:pt>
                <c:pt idx="1">
                  <c:v>Вяземский</c:v>
                </c:pt>
                <c:pt idx="2">
                  <c:v>Гагаринский</c:v>
                </c:pt>
                <c:pt idx="3">
                  <c:v>Глинковский</c:v>
                </c:pt>
                <c:pt idx="4">
                  <c:v>Демидовский</c:v>
                </c:pt>
                <c:pt idx="5">
                  <c:v>Десногорск</c:v>
                </c:pt>
                <c:pt idx="6">
                  <c:v>Дорогобужский</c:v>
                </c:pt>
                <c:pt idx="7">
                  <c:v>Духовщинский</c:v>
                </c:pt>
                <c:pt idx="8">
                  <c:v>Ельнинский</c:v>
                </c:pt>
                <c:pt idx="9">
                  <c:v>Ершичский</c:v>
                </c:pt>
                <c:pt idx="10">
                  <c:v>Кардымовский</c:v>
                </c:pt>
                <c:pt idx="11">
                  <c:v>Краснинский</c:v>
                </c:pt>
                <c:pt idx="12">
                  <c:v>Монастырщинский</c:v>
                </c:pt>
                <c:pt idx="13">
                  <c:v>Новодугинский</c:v>
                </c:pt>
                <c:pt idx="14">
                  <c:v>Починковский</c:v>
                </c:pt>
                <c:pt idx="15">
                  <c:v>Рославльский</c:v>
                </c:pt>
                <c:pt idx="16">
                  <c:v>Руднянский</c:v>
                </c:pt>
                <c:pt idx="17">
                  <c:v>Сафоновский</c:v>
                </c:pt>
                <c:pt idx="18">
                  <c:v>Смоленск</c:v>
                </c:pt>
                <c:pt idx="19">
                  <c:v>Смоленский</c:v>
                </c:pt>
                <c:pt idx="20">
                  <c:v>Сычёвский</c:v>
                </c:pt>
                <c:pt idx="21">
                  <c:v>Тёмкинский</c:v>
                </c:pt>
                <c:pt idx="22">
                  <c:v>Угранский</c:v>
                </c:pt>
                <c:pt idx="23">
                  <c:v>Хиславичский</c:v>
                </c:pt>
                <c:pt idx="24">
                  <c:v>Холм-Жирковский</c:v>
                </c:pt>
                <c:pt idx="25">
                  <c:v>Шумячский</c:v>
                </c:pt>
                <c:pt idx="26">
                  <c:v>Ярцевский</c:v>
                </c:pt>
              </c:strCache>
            </c:strRef>
          </c:cat>
          <c:val>
            <c:numRef>
              <c:f>'по районам'!$E$6:$E$32</c:f>
              <c:numCache>
                <c:formatCode>0.0</c:formatCode>
                <c:ptCount val="27"/>
                <c:pt idx="0">
                  <c:v>61.375661375661345</c:v>
                </c:pt>
                <c:pt idx="1">
                  <c:v>55.807127882599566</c:v>
                </c:pt>
                <c:pt idx="2">
                  <c:v>50.441501103752742</c:v>
                </c:pt>
                <c:pt idx="3">
                  <c:v>64.81481481481481</c:v>
                </c:pt>
                <c:pt idx="4">
                  <c:v>55.000000000000007</c:v>
                </c:pt>
                <c:pt idx="5">
                  <c:v>55.555555555555557</c:v>
                </c:pt>
                <c:pt idx="6">
                  <c:v>60.42524005486969</c:v>
                </c:pt>
                <c:pt idx="7">
                  <c:v>63.368055555555557</c:v>
                </c:pt>
                <c:pt idx="8">
                  <c:v>54.875283446711997</c:v>
                </c:pt>
                <c:pt idx="9">
                  <c:v>76.455026455026456</c:v>
                </c:pt>
                <c:pt idx="10">
                  <c:v>49.206349206349202</c:v>
                </c:pt>
                <c:pt idx="11">
                  <c:v>56.666666666666636</c:v>
                </c:pt>
                <c:pt idx="12">
                  <c:v>51.307189542483641</c:v>
                </c:pt>
                <c:pt idx="13">
                  <c:v>69.791666666666686</c:v>
                </c:pt>
                <c:pt idx="14">
                  <c:v>46.195652173913061</c:v>
                </c:pt>
                <c:pt idx="15">
                  <c:v>51.751751751751755</c:v>
                </c:pt>
                <c:pt idx="16">
                  <c:v>54.126984126984141</c:v>
                </c:pt>
                <c:pt idx="17">
                  <c:v>48.538011695906427</c:v>
                </c:pt>
                <c:pt idx="18">
                  <c:v>60.859417902251494</c:v>
                </c:pt>
                <c:pt idx="19">
                  <c:v>53.559870550161804</c:v>
                </c:pt>
                <c:pt idx="20">
                  <c:v>74.126984126984055</c:v>
                </c:pt>
                <c:pt idx="21">
                  <c:v>65.476190476190482</c:v>
                </c:pt>
                <c:pt idx="22">
                  <c:v>53.333333333333336</c:v>
                </c:pt>
                <c:pt idx="23">
                  <c:v>34.126984126984141</c:v>
                </c:pt>
                <c:pt idx="24">
                  <c:v>54.320987654320973</c:v>
                </c:pt>
                <c:pt idx="25">
                  <c:v>67.65873015873008</c:v>
                </c:pt>
                <c:pt idx="26">
                  <c:v>52.939276485788092</c:v>
                </c:pt>
              </c:numCache>
            </c:numRef>
          </c:val>
        </c:ser>
        <c:dLbls>
          <c:showVal val="1"/>
        </c:dLbls>
        <c:gapWidth val="46"/>
        <c:axId val="95325568"/>
        <c:axId val="97043584"/>
      </c:barChart>
      <c:catAx>
        <c:axId val="95325568"/>
        <c:scaling>
          <c:orientation val="maxMin"/>
        </c:scaling>
        <c:axPos val="l"/>
        <c:majorGridlines/>
        <c:tickLblPos val="nextTo"/>
        <c:crossAx val="97043584"/>
        <c:crosses val="autoZero"/>
        <c:auto val="1"/>
        <c:lblAlgn val="ctr"/>
        <c:lblOffset val="100"/>
      </c:catAx>
      <c:valAx>
        <c:axId val="97043584"/>
        <c:scaling>
          <c:orientation val="minMax"/>
        </c:scaling>
        <c:delete val="1"/>
        <c:axPos val="t"/>
        <c:numFmt formatCode="0.0" sourceLinked="1"/>
        <c:tickLblPos val="none"/>
        <c:crossAx val="953255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54793861079783"/>
          <c:y val="0.24503954953747162"/>
          <c:w val="0.51397572178477691"/>
          <c:h val="0.70690070617963585"/>
        </c:manualLayout>
      </c:layout>
      <c:pie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2.5888232720909905E-2"/>
                  <c:y val="-3.7773403324584446E-3"/>
                </c:manualLayout>
              </c:layout>
              <c:showVal val="1"/>
            </c:dLbl>
            <c:dLbl>
              <c:idx val="1"/>
              <c:layout>
                <c:manualLayout>
                  <c:x val="-0.16953684773426733"/>
                  <c:y val="-2.5028649921120343E-2"/>
                </c:manualLayout>
              </c:layout>
              <c:showVal val="1"/>
            </c:dLbl>
            <c:dLbl>
              <c:idx val="2"/>
              <c:layout>
                <c:manualLayout>
                  <c:x val="-1.8092082239720041E-2"/>
                  <c:y val="-7.7979077830170971E-3"/>
                </c:manualLayout>
              </c:layout>
              <c:showVal val="1"/>
            </c:dLbl>
            <c:showVal val="1"/>
            <c:showLeaderLines val="1"/>
          </c:dLbls>
          <c:cat>
            <c:strRef>
              <c:f>'по районам'!$H$4:$J$4</c:f>
              <c:strCache>
                <c:ptCount val="3"/>
                <c:pt idx="0">
                  <c:v>Повышенный</c:v>
                </c:pt>
                <c:pt idx="1">
                  <c:v>Базовый</c:v>
                </c:pt>
                <c:pt idx="2">
                  <c:v>Пониженный</c:v>
                </c:pt>
              </c:strCache>
            </c:strRef>
          </c:cat>
          <c:val>
            <c:numRef>
              <c:f>'по районам'!$H$5:$J$5</c:f>
              <c:numCache>
                <c:formatCode>0.0%</c:formatCode>
                <c:ptCount val="3"/>
                <c:pt idx="0">
                  <c:v>0.15432098765432103</c:v>
                </c:pt>
                <c:pt idx="1">
                  <c:v>0.75243664717348946</c:v>
                </c:pt>
                <c:pt idx="2">
                  <c:v>9.3242365172189784E-2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5739634209391362"/>
          <c:y val="0.41034256104806405"/>
          <c:w val="0.29260367001402832"/>
          <c:h val="0.34008224552724986"/>
        </c:manualLayout>
      </c:layout>
    </c:legend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4702312987245245"/>
          <c:y val="0.24803660387150073"/>
          <c:w val="0.80369607904801377"/>
          <c:h val="0.70325722983257233"/>
        </c:manualLayout>
      </c:layout>
      <c:barChart>
        <c:barDir val="bar"/>
        <c:grouping val="percentStacked"/>
        <c:ser>
          <c:idx val="0"/>
          <c:order val="0"/>
          <c:tx>
            <c:strRef>
              <c:f>'по районам'!$BP$6</c:f>
              <c:strCache>
                <c:ptCount val="1"/>
                <c:pt idx="0">
                  <c:v>Полностью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'по районам'!$BO$7:$BO$14</c:f>
              <c:strCache>
                <c:ptCount val="8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</c:strCache>
            </c:strRef>
          </c:cat>
          <c:val>
            <c:numRef>
              <c:f>'по районам'!$BP$7:$BP$14</c:f>
              <c:numCache>
                <c:formatCode>0%</c:formatCode>
                <c:ptCount val="8"/>
                <c:pt idx="0">
                  <c:v>0.87264457439896082</c:v>
                </c:pt>
                <c:pt idx="1">
                  <c:v>0.73976608187134485</c:v>
                </c:pt>
                <c:pt idx="2">
                  <c:v>0.28135152696556215</c:v>
                </c:pt>
                <c:pt idx="3">
                  <c:v>0.24171539961013652</c:v>
                </c:pt>
                <c:pt idx="4">
                  <c:v>0.74463937621832399</c:v>
                </c:pt>
                <c:pt idx="5">
                  <c:v>0.32228719948018192</c:v>
                </c:pt>
                <c:pt idx="6">
                  <c:v>0.19785575048732948</c:v>
                </c:pt>
                <c:pt idx="7">
                  <c:v>0.29662118258609477</c:v>
                </c:pt>
              </c:numCache>
            </c:numRef>
          </c:val>
        </c:ser>
        <c:ser>
          <c:idx val="1"/>
          <c:order val="1"/>
          <c:tx>
            <c:strRef>
              <c:f>'по районам'!$BQ$6</c:f>
              <c:strCache>
                <c:ptCount val="1"/>
                <c:pt idx="0">
                  <c:v>Частично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'по районам'!$BO$7:$BO$14</c:f>
              <c:strCache>
                <c:ptCount val="8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</c:strCache>
            </c:strRef>
          </c:cat>
          <c:val>
            <c:numRef>
              <c:f>'по районам'!$BQ$7:$BQ$14</c:f>
              <c:numCache>
                <c:formatCode>General</c:formatCode>
                <c:ptCount val="8"/>
                <c:pt idx="2" formatCode="0%">
                  <c:v>0.53118908382066254</c:v>
                </c:pt>
                <c:pt idx="3" formatCode="0%">
                  <c:v>0.64587394411955834</c:v>
                </c:pt>
                <c:pt idx="5" formatCode="0%">
                  <c:v>0.42625081221572447</c:v>
                </c:pt>
                <c:pt idx="6" formatCode="0%">
                  <c:v>0.28979857050032476</c:v>
                </c:pt>
                <c:pt idx="7" formatCode="0%">
                  <c:v>0.32391163092917491</c:v>
                </c:pt>
              </c:numCache>
            </c:numRef>
          </c:val>
        </c:ser>
        <c:ser>
          <c:idx val="2"/>
          <c:order val="2"/>
          <c:tx>
            <c:strRef>
              <c:f>'по районам'!$BR$6</c:f>
              <c:strCache>
                <c:ptCount val="1"/>
                <c:pt idx="0">
                  <c:v>Не выполнили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'по районам'!$BO$7:$BO$14</c:f>
              <c:strCache>
                <c:ptCount val="8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</c:strCache>
            </c:strRef>
          </c:cat>
          <c:val>
            <c:numRef>
              <c:f>'по районам'!$BR$7:$BR$14</c:f>
              <c:numCache>
                <c:formatCode>0%</c:formatCode>
                <c:ptCount val="8"/>
                <c:pt idx="0">
                  <c:v>0.12735542560103963</c:v>
                </c:pt>
                <c:pt idx="1">
                  <c:v>0.26023391812865493</c:v>
                </c:pt>
                <c:pt idx="2">
                  <c:v>0.18745938921377525</c:v>
                </c:pt>
                <c:pt idx="3">
                  <c:v>0.11241065627030539</c:v>
                </c:pt>
                <c:pt idx="4">
                  <c:v>0.25536062378167651</c:v>
                </c:pt>
                <c:pt idx="5">
                  <c:v>0.25146198830409366</c:v>
                </c:pt>
                <c:pt idx="6">
                  <c:v>0.28979857050032476</c:v>
                </c:pt>
                <c:pt idx="7">
                  <c:v>0.37946718648473032</c:v>
                </c:pt>
              </c:numCache>
            </c:numRef>
          </c:val>
        </c:ser>
        <c:dLbls>
          <c:showVal val="1"/>
        </c:dLbls>
        <c:gapWidth val="50"/>
        <c:overlap val="100"/>
        <c:axId val="95328512"/>
        <c:axId val="95334784"/>
      </c:barChart>
      <c:catAx>
        <c:axId val="9532851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aseline="0"/>
                  <a:t>Задания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5.5336944204605462E-3"/>
              <c:y val="0.42701603069619126"/>
            </c:manualLayout>
          </c:layout>
        </c:title>
        <c:tickLblPos val="nextTo"/>
        <c:crossAx val="95334784"/>
        <c:crosses val="autoZero"/>
        <c:auto val="1"/>
        <c:lblAlgn val="ctr"/>
        <c:lblOffset val="100"/>
      </c:catAx>
      <c:valAx>
        <c:axId val="95334784"/>
        <c:scaling>
          <c:orientation val="minMax"/>
        </c:scaling>
        <c:delete val="1"/>
        <c:axPos val="t"/>
        <c:majorGridlines/>
        <c:numFmt formatCode="0%" sourceLinked="1"/>
        <c:tickLblPos val="none"/>
        <c:crossAx val="953285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028871391076115"/>
          <c:y val="0.16280060882800607"/>
          <c:w val="0.64064728958630546"/>
          <c:h val="5.6186866779761792E-2"/>
        </c:manualLayout>
      </c:layout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D325953A484B33A5FA90222B641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8F421-4FE2-4A78-98D5-FCC06BD651B5}"/>
      </w:docPartPr>
      <w:docPartBody>
        <w:p w:rsidR="00CE00B8" w:rsidRDefault="00BB122F" w:rsidP="00BB122F">
          <w:pPr>
            <w:pStyle w:val="14D325953A484B33A5FA90222B64111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F4DC5"/>
    <w:rsid w:val="000218BD"/>
    <w:rsid w:val="004874A5"/>
    <w:rsid w:val="004F4DC5"/>
    <w:rsid w:val="0067497D"/>
    <w:rsid w:val="00BB122F"/>
    <w:rsid w:val="00CE00B8"/>
    <w:rsid w:val="00E5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F71851D00145B9BE3272A6D5D71C2D">
    <w:name w:val="6BF71851D00145B9BE3272A6D5D71C2D"/>
    <w:rsid w:val="004F4DC5"/>
  </w:style>
  <w:style w:type="paragraph" w:customStyle="1" w:styleId="0BE6C7809B5B46038E8E100378C30B18">
    <w:name w:val="0BE6C7809B5B46038E8E100378C30B18"/>
    <w:rsid w:val="004F4DC5"/>
  </w:style>
  <w:style w:type="paragraph" w:customStyle="1" w:styleId="299C68534264495DA0BE5E37B52DBE73">
    <w:name w:val="299C68534264495DA0BE5E37B52DBE73"/>
    <w:rsid w:val="004F4DC5"/>
  </w:style>
  <w:style w:type="paragraph" w:customStyle="1" w:styleId="472B5EB34397401292DC9A59C18136DE">
    <w:name w:val="472B5EB34397401292DC9A59C18136DE"/>
    <w:rsid w:val="004F4DC5"/>
  </w:style>
  <w:style w:type="paragraph" w:customStyle="1" w:styleId="14D325953A484B33A5FA90222B641119">
    <w:name w:val="14D325953A484B33A5FA90222B641119"/>
    <w:rsid w:val="00BB12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</vt:lpstr>
    </vt:vector>
  </TitlesOfParts>
  <Company>ГАУ ДПО СОИРО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</dc:title>
  <dc:subject>проведения диагностической работы для оценки метапредметных результатов обучающихся 10-х классов</dc:subject>
  <dc:creator>Отдел мониторинга и оценки качества образования</dc:creator>
  <cp:keywords/>
  <dc:description/>
  <cp:lastModifiedBy>Васинова</cp:lastModifiedBy>
  <cp:revision>6</cp:revision>
  <cp:lastPrinted>2020-02-27T11:58:00Z</cp:lastPrinted>
  <dcterms:created xsi:type="dcterms:W3CDTF">2020-02-10T08:02:00Z</dcterms:created>
  <dcterms:modified xsi:type="dcterms:W3CDTF">2020-07-24T06:50:00Z</dcterms:modified>
</cp:coreProperties>
</file>