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FA" w:rsidRPr="00583CEC" w:rsidRDefault="00583CEC">
      <w:pPr>
        <w:jc w:val="center"/>
        <w:rPr>
          <w:b/>
          <w:bCs/>
        </w:rPr>
      </w:pPr>
      <w:r w:rsidRPr="00583CEC">
        <w:rPr>
          <w:b/>
          <w:sz w:val="28"/>
          <w:szCs w:val="28"/>
        </w:rPr>
        <w:t>Формирование функциональной грамотности на уроках русского языка и литературы</w:t>
      </w:r>
      <w:r w:rsidRPr="00583CEC">
        <w:rPr>
          <w:b/>
          <w:bCs/>
        </w:rPr>
        <w:t xml:space="preserve"> </w:t>
      </w:r>
      <w:bookmarkStart w:id="0" w:name="_GoBack"/>
      <w:bookmarkEnd w:id="0"/>
    </w:p>
    <w:p w:rsidR="00F03EFA" w:rsidRPr="00583CEC" w:rsidRDefault="00F03EFA">
      <w:pPr>
        <w:jc w:val="both"/>
        <w:rPr>
          <w:b/>
        </w:rPr>
      </w:pPr>
    </w:p>
    <w:p w:rsidR="00583CEC" w:rsidRDefault="00583CEC" w:rsidP="00583CEC">
      <w:pPr>
        <w:pStyle w:val="a3"/>
        <w:spacing w:before="0" w:after="0"/>
        <w:ind w:firstLine="708"/>
        <w:jc w:val="right"/>
        <w:rPr>
          <w:b/>
          <w:sz w:val="28"/>
          <w:szCs w:val="28"/>
        </w:rPr>
      </w:pPr>
      <w:r w:rsidRPr="00583CEC">
        <w:rPr>
          <w:b/>
          <w:color w:val="000000" w:themeColor="text1"/>
          <w:sz w:val="28"/>
          <w:szCs w:val="28"/>
        </w:rPr>
        <w:t>Атрошкова С.Б.</w:t>
      </w:r>
      <w:r>
        <w:rPr>
          <w:b/>
          <w:color w:val="000000" w:themeColor="text1"/>
          <w:sz w:val="28"/>
          <w:szCs w:val="28"/>
        </w:rPr>
        <w:t>, у</w:t>
      </w:r>
      <w:r w:rsidRPr="00583CEC">
        <w:rPr>
          <w:b/>
          <w:sz w:val="28"/>
          <w:szCs w:val="28"/>
        </w:rPr>
        <w:t xml:space="preserve">читель русского языка </w:t>
      </w:r>
    </w:p>
    <w:p w:rsidR="00583CEC" w:rsidRPr="00583CEC" w:rsidRDefault="00583CEC" w:rsidP="00583CEC">
      <w:pPr>
        <w:pStyle w:val="a3"/>
        <w:spacing w:before="0" w:after="0"/>
        <w:ind w:firstLine="708"/>
        <w:jc w:val="right"/>
        <w:rPr>
          <w:b/>
          <w:color w:val="000000"/>
        </w:rPr>
      </w:pPr>
      <w:r w:rsidRPr="00583CEC">
        <w:rPr>
          <w:b/>
          <w:sz w:val="28"/>
          <w:szCs w:val="28"/>
        </w:rPr>
        <w:t>и литературы</w:t>
      </w:r>
      <w:r w:rsidRPr="00583CEC">
        <w:rPr>
          <w:b/>
          <w:sz w:val="28"/>
          <w:szCs w:val="28"/>
        </w:rPr>
        <w:t xml:space="preserve"> </w:t>
      </w:r>
      <w:r w:rsidRPr="00583CEC">
        <w:rPr>
          <w:b/>
          <w:sz w:val="28"/>
          <w:szCs w:val="28"/>
        </w:rPr>
        <w:t>МБОУ «СШ № 25»</w:t>
      </w:r>
    </w:p>
    <w:p w:rsidR="00583CEC" w:rsidRPr="00583CEC" w:rsidRDefault="00583CEC">
      <w:pPr>
        <w:pStyle w:val="a3"/>
        <w:spacing w:before="0" w:after="0"/>
        <w:ind w:firstLine="708"/>
        <w:jc w:val="both"/>
        <w:rPr>
          <w:b/>
          <w:color w:val="000000"/>
        </w:rPr>
      </w:pPr>
    </w:p>
    <w:p w:rsidR="00F03EFA" w:rsidRDefault="00281D9C">
      <w:pPr>
        <w:pStyle w:val="a3"/>
        <w:spacing w:before="0" w:after="0"/>
        <w:ind w:firstLine="708"/>
        <w:jc w:val="both"/>
        <w:rPr>
          <w:rFonts w:eastAsia="Times New Roman"/>
          <w:bCs/>
          <w:color w:val="000000" w:themeColor="text1"/>
        </w:rPr>
      </w:pPr>
      <w:r>
        <w:rPr>
          <w:color w:val="000000"/>
        </w:rPr>
        <w:t>«</w:t>
      </w:r>
      <w:r>
        <w:rPr>
          <w:rFonts w:eastAsia="Times New Roman"/>
          <w:bCs/>
          <w:color w:val="000000"/>
        </w:rPr>
        <w:t>ОБРАЗОВАНИЕ - то, что остается, когда все выученное забыто», - сказал когда-то один из древних философов. Поэтому главным вопроса для современного педагога является содержание образования и подбор наиболее эффективных методов и технологий обучения.</w:t>
      </w:r>
      <w:r>
        <w:rPr>
          <w:rFonts w:eastAsia="Times New Roman"/>
          <w:bCs/>
          <w:color w:val="000000"/>
        </w:rPr>
        <w:br/>
        <w:t xml:space="preserve">         «Чему учить и как учить?» – это вопрос, который становится особенно актуальным именно в наше время, когда происходят кардинальные изменения в системе школьного образования, </w:t>
      </w:r>
      <w:r>
        <w:rPr>
          <w:color w:val="000000"/>
        </w:rPr>
        <w:t>ориентированной на вхождение в мировое образовательное пространство</w:t>
      </w:r>
      <w:r>
        <w:rPr>
          <w:rFonts w:eastAsia="Times New Roman"/>
          <w:bCs/>
          <w:color w:val="000000"/>
        </w:rPr>
        <w:t xml:space="preserve">. </w:t>
      </w:r>
      <w:r>
        <w:rPr>
          <w:color w:val="000000"/>
        </w:rPr>
        <w:t xml:space="preserve">Насколько успешен этот процесс, показывает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В Национальном плане действий по развитию функциональной грамотности школьников на 2011-2020 годы 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личности. </w:t>
      </w:r>
    </w:p>
    <w:p w:rsidR="00F03EFA" w:rsidRDefault="00281D9C">
      <w:pPr>
        <w:pStyle w:val="a3"/>
        <w:spacing w:before="0" w:after="0"/>
        <w:ind w:firstLine="708"/>
        <w:jc w:val="both"/>
      </w:pPr>
      <w:r>
        <w:t xml:space="preserve">Конечным результатом обучения по Р. Н. Бунееву, должно быть «взращивание функционально грамотной личности» - личности, которая «способна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человеческой деятельности, общения и социальных отношений», включая способность быть самостоятельным в принятии решений, нести ответственность за себя и своих близких, легко адаптироваться в любом социуме, действовать в соответствии с общественными ценностями. </w:t>
      </w:r>
    </w:p>
    <w:p w:rsidR="00F03EFA" w:rsidRDefault="00281D9C">
      <w:pPr>
        <w:pStyle w:val="a3"/>
        <w:spacing w:before="0" w:after="0"/>
        <w:ind w:firstLine="708"/>
        <w:jc w:val="both"/>
      </w:pPr>
      <w:r>
        <w:t xml:space="preserve">Таким образом, сменяются приоритеты в сфере школьного образования: и главной целью обучения является вовсе не достижение учащимися определенного уровня предметных знаний и умений, а формирование системы ключевых компетенций, которые позволят молодым людям успешно применять усвоенные знания в практической ситуации и тем самым успешно адаптироваться в динамическом социуме. Компетенции – это умение применять практико-ориентированные знания в бытовых, социальных и профессиональных видах деятельности («знаю, как, где и когда»). </w:t>
      </w:r>
    </w:p>
    <w:p w:rsidR="00F03EFA" w:rsidRDefault="00281D9C">
      <w:pPr>
        <w:pStyle w:val="a3"/>
        <w:spacing w:before="0" w:after="0"/>
        <w:ind w:firstLine="708"/>
        <w:jc w:val="both"/>
        <w:rPr>
          <w:bCs/>
        </w:rPr>
      </w:pPr>
      <w:r>
        <w:rPr>
          <w:bCs/>
        </w:rPr>
        <w:t>Выделяются следующие компетенции, связанные с функциональной грамотностью:</w:t>
      </w:r>
    </w:p>
    <w:p w:rsidR="00F03EFA" w:rsidRDefault="00281D9C">
      <w:pPr>
        <w:pStyle w:val="a3"/>
        <w:numPr>
          <w:ilvl w:val="0"/>
          <w:numId w:val="1"/>
        </w:numPr>
        <w:spacing w:before="0" w:after="0"/>
        <w:jc w:val="both"/>
      </w:pPr>
      <w:r>
        <w:t>Способность выбирать и использовать различные технологии;</w:t>
      </w:r>
    </w:p>
    <w:p w:rsidR="00F03EFA" w:rsidRDefault="00281D9C">
      <w:pPr>
        <w:pStyle w:val="a3"/>
        <w:numPr>
          <w:ilvl w:val="0"/>
          <w:numId w:val="1"/>
        </w:numPr>
        <w:spacing w:before="0" w:after="0"/>
        <w:jc w:val="both"/>
      </w:pPr>
      <w:r>
        <w:t>Способность видеть проблемы и искать пути их решения;</w:t>
      </w:r>
    </w:p>
    <w:p w:rsidR="00F03EFA" w:rsidRDefault="00281D9C">
      <w:pPr>
        <w:pStyle w:val="a3"/>
        <w:numPr>
          <w:ilvl w:val="0"/>
          <w:numId w:val="1"/>
        </w:numPr>
        <w:spacing w:before="0" w:after="0"/>
        <w:jc w:val="both"/>
      </w:pPr>
      <w:r>
        <w:t>Способность учиться всю жизнь.</w:t>
      </w:r>
    </w:p>
    <w:p w:rsidR="00F03EFA" w:rsidRDefault="00281D9C">
      <w:pPr>
        <w:ind w:firstLine="708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bCs/>
          <w:color w:val="000000"/>
        </w:rPr>
        <w:t xml:space="preserve">Если раньше на уроках учитель старался уделять внимание систематизации изученного материала, формированию основных навыков, орфографической зоркости, то теперь, </w:t>
      </w:r>
      <w:r>
        <w:rPr>
          <w:bCs/>
          <w:color w:val="000000"/>
        </w:rPr>
        <w:t>в рамках обновления содержания образования, на уроке нельзя ограничиваться академическими целями.</w:t>
      </w:r>
      <w:r>
        <w:t xml:space="preserve"> Современные реалии требуют, чтобы ученик не только владел </w:t>
      </w:r>
      <w:r>
        <w:lastRenderedPageBreak/>
        <w:t>суммой знаний по предмету, но и успешно использовал их в разнообразных ситуациях. Умел и хотел учиться всю жизнь. Творческая личность должна 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функци</w:t>
      </w:r>
      <w:r>
        <w:rPr>
          <w:color w:val="000000"/>
        </w:rPr>
        <w:t xml:space="preserve">ональная грамотность. </w:t>
      </w:r>
    </w:p>
    <w:p w:rsidR="00F03EFA" w:rsidRDefault="00281D9C">
      <w:pPr>
        <w:ind w:firstLine="708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Какими же практическими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умениями и навыками должен обладать функционально грамотный человек? Организацией по международному сотрудничеству и развитию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(OECD) и Институтом образования ЮНЕСКО в двенадцати странах Европы было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осуществлено международное исследование грамотности взрослых, в ходе которого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 xml:space="preserve">был разработан инструментарий, т.е. набор конкретных индикаторов функциональной грамотности. </w:t>
      </w:r>
      <w:r>
        <w:t xml:space="preserve">Они приведены в следующей таблице: </w:t>
      </w:r>
    </w:p>
    <w:tbl>
      <w:tblPr>
        <w:tblStyle w:val="a4"/>
        <w:tblW w:w="0" w:type="auto"/>
        <w:tblLook w:val="04A0"/>
      </w:tblPr>
      <w:tblGrid>
        <w:gridCol w:w="4669"/>
        <w:gridCol w:w="4670"/>
      </w:tblGrid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 w:themeColor="text1"/>
              </w:rPr>
            </w:pPr>
            <w:r>
              <w:rPr>
                <w:rStyle w:val="a7"/>
                <w:color w:val="000000"/>
              </w:rPr>
              <w:t xml:space="preserve">Виды функциональной грамотности 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 w:themeColor="text1"/>
              </w:rPr>
            </w:pPr>
            <w:r>
              <w:rPr>
                <w:rStyle w:val="a7"/>
                <w:color w:val="000000"/>
              </w:rPr>
              <w:t>Индикаторы-умения (эмпирические показатели)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jc w:val="both"/>
              <w:rPr>
                <w:rStyle w:val="a7"/>
                <w:i w:val="0"/>
                <w:color w:val="000000" w:themeColor="text1"/>
              </w:rPr>
            </w:pPr>
            <w:r>
              <w:rPr>
                <w:color w:val="000000"/>
              </w:rPr>
              <w:t xml:space="preserve"> Общая грамотность </w:t>
            </w:r>
          </w:p>
        </w:tc>
        <w:tc>
          <w:tcPr>
            <w:tcW w:w="4670" w:type="dxa"/>
          </w:tcPr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 *Написать сочинение, реферат.</w:t>
            </w:r>
          </w:p>
          <w:p w:rsidR="00F03EFA" w:rsidRDefault="00281D9C">
            <w:pPr>
              <w:jc w:val="both"/>
            </w:pPr>
            <w:r>
              <w:t xml:space="preserve"> Считать без калькулятора.</w:t>
            </w:r>
          </w:p>
          <w:p w:rsidR="00F03EFA" w:rsidRDefault="00281D9C">
            <w:pPr>
              <w:jc w:val="both"/>
            </w:pPr>
            <w:r>
              <w:t xml:space="preserve"> *Отвечать на вопросы, не испытывая затруднений в построении фраз, в подборе слов.</w:t>
            </w:r>
          </w:p>
          <w:p w:rsidR="00F03EFA" w:rsidRDefault="00281D9C">
            <w:pPr>
              <w:jc w:val="both"/>
            </w:pPr>
            <w:r>
              <w:t xml:space="preserve"> *Написать заявление, заполнить какие-либо анкеты, бланки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     Компьютерная грамотность</w:t>
            </w:r>
          </w:p>
        </w:tc>
        <w:tc>
          <w:tcPr>
            <w:tcW w:w="4670" w:type="dxa"/>
          </w:tcPr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Искать информацию в сети Интернет. </w:t>
            </w:r>
          </w:p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Пользоваться электронной почтой. </w:t>
            </w:r>
          </w:p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Создавать и распечатывать тексты. </w:t>
            </w:r>
          </w:p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Работать с электронными таблицами. </w:t>
            </w:r>
          </w:p>
          <w:p w:rsidR="00F03EFA" w:rsidRDefault="00281D9C">
            <w:pPr>
              <w:pStyle w:val="a5"/>
              <w:spacing w:before="0" w:after="0"/>
              <w:ind w:left="0" w:righ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/>
              </w:rPr>
              <w:t xml:space="preserve">Использовать графические редакторы. 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 Грамотность действий в чрезвычайных ситуациях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Оказывать первую медицинскую помощь пострадавшему.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Обратиться за экстренной помощью к специализированным службам.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Заботиться о своем здоровье.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Вести себя в ситуациях угрозы личной безопасности. 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 Информационная грамотность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*Находить и отбирать необходимую информацию из книг, справочников, энциклопедий и др. печатных текстов.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Читать чертежи, схемы, графики.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*Использовать информацию из СМИ (газеты, журналы, радио, телевидение).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*Пользоваться алфавитным и систематическим каталогом библиотеки.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Анализировать числовую информацию. 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   Коммуникативная грамотность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Работать в группе, команде.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lastRenderedPageBreak/>
              <w:t xml:space="preserve">Расположить к себе других людей.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Не поддаваться колебаниям своего настроения.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Приспосабливаться к новым, непривычным требованиям и условиям.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Организовать работу группы. 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lastRenderedPageBreak/>
              <w:t xml:space="preserve"> Владение иностранными языками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Перевести со словарем несложный текст.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Рассказать о себе, своих друзьях, своем городе.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Понимать тексты инструкций на упаковках различных товаров, приборов бытовой техники.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Общаться с зарубежными друзьями и знакомыми на различные бытовые темы. </w:t>
            </w:r>
          </w:p>
        </w:tc>
      </w:tr>
      <w:tr w:rsidR="00F03EFA"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 Грамотность при решении бытовых проблем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Выбирать продукты, товары и услуги (в магазинах, в разных сервисных службах).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Планировать денежные расходы, исходя из бюджета семьи.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Использовать различные технические бытовые устройства, пользуясь инструкциями.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Ориентироваться в незнакомом городе, пользуясь справочником, картой. </w:t>
            </w:r>
          </w:p>
        </w:tc>
      </w:tr>
      <w:tr w:rsidR="00F03EFA">
        <w:trPr>
          <w:trHeight w:val="2755"/>
        </w:trPr>
        <w:tc>
          <w:tcPr>
            <w:tcW w:w="4669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 Правовая и общественно - политическая грамотность</w:t>
            </w:r>
          </w:p>
        </w:tc>
        <w:tc>
          <w:tcPr>
            <w:tcW w:w="4670" w:type="dxa"/>
          </w:tcPr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Отстаивать свои права и интересы.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>Объяснять различия в функциях и полномочиях Президента, Правительства.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 xml:space="preserve">Объяснять различия между уголовным, административным и дисциплинарным нарушением. </w:t>
            </w:r>
          </w:p>
          <w:p w:rsidR="00F03EFA" w:rsidRDefault="00281D9C">
            <w:pPr>
              <w:pStyle w:val="a3"/>
              <w:spacing w:before="0" w:after="0"/>
              <w:jc w:val="both"/>
            </w:pPr>
            <w:r>
              <w:t>Анализировать и сравнивать предвыборные программы разных кандидатов и партий.</w:t>
            </w:r>
          </w:p>
        </w:tc>
      </w:tr>
    </w:tbl>
    <w:p w:rsidR="00F03EFA" w:rsidRDefault="00281D9C">
      <w:pPr>
        <w:pStyle w:val="a3"/>
        <w:spacing w:before="0" w:after="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t xml:space="preserve">В данной таблице разных видов функциональной грамотности определены индикаторы, многие из которых должны формироваться у учащихся именно на уроках русского языка и литературы. </w:t>
      </w:r>
      <w:r>
        <w:rPr>
          <w:color w:val="000000"/>
        </w:rPr>
        <w:t xml:space="preserve">К ним относятся такие коммуникативные и речевые умения, как писать сочинение, реферат, отвечать на вопросы, не испытывая затруднений в построении фраз, подборе слов, писать заявление, заполнять какие - либо анкеты, бланки, находить и отбирать необходимую информацию из книг, справочников, энциклопедий и </w:t>
      </w:r>
      <w:r>
        <w:rPr>
          <w:color w:val="000000"/>
        </w:rPr>
        <w:lastRenderedPageBreak/>
        <w:t>других печатных текстов; использовать информацию из СМИ, газет, журналов, радио, телевидения, пользоваться алфавитным и систематическим каталогами библиотеки.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Другие умения, входящие в базу функциональной грамотности, такие как «обратиться за экстренной помощью к специализированным службам», «расположить к себе других людей» тоже формируются на уроках русского языка.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Таким образом, речевые умения является показателями не только коммуникативной, общей и информационной грамотности, но и многих других видов функциональной грамотности человека. Всё это только ещё раз подчёркивает, что именно русский язык и литература обладают широким потенциалом при формировании различных видов функциональной грамотности учащихся среднего и старшего звена: общей, информационной, коммуникативной, правовой, общественно-политической. Поэтому на учителей русского языка и литературы возлагается большая ответственность за подготовку функционально грамотного поколения молодых казахстанцев.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Главная задача учителя - научить ученика учиться. В свое время В. А. Сухомлинский писал: «Страшная это опасность - безделье за партой: безделье шесть часов ежедневно, безделье месяцы и годы - это развращает, морально калечит человека, и ни школьная бригада, ни мастерская, ни школьный участок - ничто не может возместить того, что упущено в самой главной сфере, где человек должен быть тружеником, - в сфере мысли».</w:t>
      </w:r>
    </w:p>
    <w:p w:rsidR="00F03EFA" w:rsidRDefault="00281D9C">
      <w:pPr>
        <w:pStyle w:val="a3"/>
        <w:spacing w:before="0" w:after="0"/>
        <w:ind w:firstLine="708"/>
        <w:jc w:val="both"/>
        <w:rPr>
          <w:rFonts w:eastAsia="Times New Roman"/>
        </w:rPr>
      </w:pPr>
      <w:r>
        <w:rPr>
          <w:color w:val="000000"/>
        </w:rPr>
        <w:t xml:space="preserve">Пришло время перехода от фронтальных форм обучения учащихся к реализации </w:t>
      </w:r>
      <w:r>
        <w:rPr>
          <w:rFonts w:eastAsia="Times New Roman"/>
          <w:color w:val="000000"/>
          <w:shd w:val="clear" w:color="auto" w:fill="FFFFFF"/>
        </w:rPr>
        <w:t>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 Задача учителя не преподносить знания школьникам, а создать условия для самостоятельного добывания знаний.</w:t>
      </w:r>
      <w:r>
        <w:rPr>
          <w:rFonts w:eastAsia="Times New Roman"/>
        </w:rPr>
        <w:t xml:space="preserve"> Таким образом, современный урок – это урок, на котором учитель выступает в роли координатора, направляющего деятельность обучаемого, а ученик - в роли субъекта, самостоятельно добывающего знания. Именно те знания, которые он может применять в повседневной жизни, знания, при помощи которых формируется функциональная грамотность. </w:t>
      </w:r>
    </w:p>
    <w:p w:rsidR="00F03EFA" w:rsidRDefault="00281D9C">
      <w:pPr>
        <w:pStyle w:val="a3"/>
        <w:spacing w:before="0"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Таким образом, моя цель на уроке – вовлечение каждого ученика в активную познавательную и творческую деятельность. Этого можно добиться, используя новые технологии, необходимые для активной мыслительной деятельности и развития коммуникативности учащихся. Наиболее перспективными, на мой взгляд, являются технологии, связанные с различными формами интерактивного обучения, проектной деятельности. 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Интерактивные методы обучения (от англ. «Интерактив»- взаимодействие) - это такие методы и формы, используя которые, учитель «погружает» процесс обучения в процесс общения (взаимодействия); активность обучаемых при этом становится выше активности преподавателя; образовательная технология, основанная на взаимодействии внутри группы и свободе обучаемого в решении образовательных задач. Интерактивные методы позволяют моделировать реальные жизненные ситуации и проблемы для совместного решения; </w:t>
      </w:r>
      <w:r>
        <w:rPr>
          <w:rFonts w:eastAsia="Times New Roman"/>
        </w:rPr>
        <w:t xml:space="preserve"> с</w:t>
      </w:r>
      <w:r>
        <w:rPr>
          <w:color w:val="000000"/>
        </w:rPr>
        <w:t>пособствуют формированию долгосрочных навыков и умений, создают атмосферу сотрудничества, взаимодействия.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Преимуществами интерактивных методов является то, что они позволяют учащимся на собственном опыте осознать и обсудить особенности чувственного восприятия, контролировать собственное восприятие окружающей среды; развивают </w:t>
      </w:r>
      <w:r>
        <w:rPr>
          <w:color w:val="000000"/>
        </w:rPr>
        <w:lastRenderedPageBreak/>
        <w:t>навыки общения, помогают осознать значение группового опыта;  помогают участвовать и контролировать своё участие в работе группы, уважать ценность правила, принятого группой, обосновывать своё мнение и отстаивать собственную позицию. Помогают согласовывать свои действия при решении проблемы; учат использовать не готовые знания, а полученные при помощи прямого опыта. </w:t>
      </w:r>
    </w:p>
    <w:p w:rsidR="00F03EFA" w:rsidRDefault="00281D9C">
      <w:pPr>
        <w:pStyle w:val="a3"/>
        <w:spacing w:before="0" w:after="0"/>
        <w:ind w:firstLine="708"/>
        <w:rPr>
          <w:rFonts w:eastAsia="Times New Roman"/>
        </w:rPr>
      </w:pPr>
      <w:r>
        <w:rPr>
          <w:color w:val="000000"/>
        </w:rPr>
        <w:t>Основные стратегии обучения с использованием интерактивных методов: </w:t>
      </w:r>
      <w:r>
        <w:rPr>
          <w:color w:val="000000"/>
        </w:rPr>
        <w:br/>
        <w:t>1) различные психологические упражнения на знакомство, сплочённость и сотрудничество внутри группы; </w:t>
      </w:r>
      <w:r>
        <w:rPr>
          <w:color w:val="000000"/>
        </w:rPr>
        <w:br/>
        <w:t>2) мозговой штурм; </w:t>
      </w:r>
      <w:r>
        <w:rPr>
          <w:color w:val="000000"/>
        </w:rPr>
        <w:br/>
        <w:t>3) имитации; </w:t>
      </w:r>
      <w:r>
        <w:rPr>
          <w:color w:val="000000"/>
        </w:rPr>
        <w:br/>
        <w:t>4) дискуссии и диспуты; </w:t>
      </w:r>
      <w:r>
        <w:rPr>
          <w:color w:val="000000"/>
        </w:rPr>
        <w:br/>
        <w:t>5) ролевые, дидактические и имитационные игры - если они основаны на принципах взаимодействия, активности и свободе обучаемых в решении образовательных задач, опоре на групповой опыт, обязательной обратной связи. </w:t>
      </w:r>
      <w:r>
        <w:rPr>
          <w:color w:val="000000"/>
        </w:rPr>
        <w:br/>
        <w:t>Интерактивные методы обучения можно применять на разных этапах урока. </w:t>
      </w:r>
    </w:p>
    <w:tbl>
      <w:tblPr>
        <w:tblStyle w:val="a4"/>
        <w:tblW w:w="0" w:type="auto"/>
        <w:tblLook w:val="04A0"/>
      </w:tblPr>
      <w:tblGrid>
        <w:gridCol w:w="3113"/>
        <w:gridCol w:w="3113"/>
        <w:gridCol w:w="3113"/>
      </w:tblGrid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Этап урока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Методическая цель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методики </w:t>
            </w:r>
          </w:p>
        </w:tc>
      </w:tr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1.Мотивация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Сконцентрировать внимание и вызвать интерес к изучению данной темы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Мозговой штурм, блиц- опрос, микрофон </w:t>
            </w:r>
          </w:p>
        </w:tc>
      </w:tr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2.Оглашение темы и задач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Обеспечить понимание учащимися их деятельности, чего они должны достигнуть в результате урока, что его ожидает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Через эпиграф, слово, название </w:t>
            </w:r>
          </w:p>
        </w:tc>
      </w:tr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3.Получение необходимой информации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Инструктаж учащихся для выполнения задания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 – лекция, презентация домашнего задания </w:t>
            </w:r>
          </w:p>
        </w:tc>
      </w:tr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4.Интерактивное задание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усвоение материала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Дебаты, семинар, работа в группах, «Карусель», «Микрофон», «Шляпы мышления», «Защита проекта», «Аквариум», «Ярмарка», «Пресс». </w:t>
            </w:r>
          </w:p>
        </w:tc>
      </w:tr>
      <w:tr w:rsidR="00F03EFA"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5.Подведение итогов 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с целью закрепления материала</w:t>
            </w:r>
          </w:p>
        </w:tc>
        <w:tc>
          <w:tcPr>
            <w:tcW w:w="3113" w:type="dxa"/>
          </w:tcPr>
          <w:p w:rsidR="00F03EFA" w:rsidRDefault="00281D9C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«Большой круг, «Неожиданное предложение», «Шкала мнений», дискуссии, комментирование. </w:t>
            </w:r>
          </w:p>
        </w:tc>
      </w:tr>
    </w:tbl>
    <w:p w:rsidR="00F03EFA" w:rsidRDefault="00281D9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На уроках чаще всего я использую  следующие   стратегии: «Карусель», «Письмо по кругу», «Я – ты – мы», «Корзина идей», «Чтение с остановками», «Составление кластера», «Мозговой штурм», «ПОПС-формула».</w:t>
      </w:r>
    </w:p>
    <w:p w:rsidR="00F03EFA" w:rsidRDefault="00281D9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Работая в группах, учащиеся имеют возможность практиковать навыки сотрудничества, учатся слушать друг друга, вырабатывать общее мнение, разрешать спорные вопросы. Эффективной для современного урока считаю стратегию «Карусель».</w:t>
      </w:r>
    </w:p>
    <w:p w:rsidR="00F03EFA" w:rsidRDefault="00281D9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Ее я применяла на уроке обобщения по роману «Евгений Онегин» при составлении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кластера «Евгений Онегин» - «энциклопедия русской жизни». Учащиеся были поделены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на группы по 4-6 человек. Каждой группе были розданы маркеры определенного цвета и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листы формата А 1. Ученики в группах обсуждали и записывали идеи по данной проблеме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в течение 5 минут. Таким образом, у них получался кластер. Затем обменивались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оформленными на бумаге идеями с другими группами. Группа, получившая идеи другой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группы, отмечала напротив каждого пункта + (согласны с данным рассуждением), - (не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согласны), ? (данное суждение требует уточнения авторов). Также группе необходимо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было дополнить идеи других групп. Таким образом, лист с идеями проходит через все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группы в классе. После совершения полного круга лист возвращается к команде, которой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предлагается ознакомиться с предложениями и дополнениями других групп. Затем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 xml:space="preserve">проходит презентация своей позиции участниками карусели. </w:t>
      </w:r>
    </w:p>
    <w:p w:rsidR="00F03EFA" w:rsidRDefault="00281D9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Часто прошу учащихся написать эссе, например, на такие темы: «Почему В.Г. Белинский назвал Евгения Онегина «эгоистом поневоле»?», «Почему Онегин не реализовался как личность?», «Почему любовь Онегина и Татьяны сложилась так трагически нелепо?» </w:t>
      </w:r>
    </w:p>
    <w:p w:rsidR="00F03EFA" w:rsidRDefault="00281D9C">
      <w:pPr>
        <w:ind w:firstLine="708"/>
        <w:jc w:val="both"/>
        <w:rPr>
          <w:rFonts w:eastAsia="Times New Roman"/>
        </w:rPr>
      </w:pPr>
      <w:r>
        <w:t>На этапе</w:t>
      </w:r>
      <w:r>
        <w:rPr>
          <w:color w:val="000000"/>
        </w:rPr>
        <w:t xml:space="preserve"> подготовки к написанию эссе в группах был использован прием «Письмо по кругу». У каждого ученика в группе свой чистый лист бумаги. Он начинает писать в нем свой первый абзац, затем передает его соседу. Получив листок от другого члена своей группы, ученик пишет второй абзац. И так до тех пор, пока его лист не вернется к нему. Затем, используя Лист самооценки, дети редактируют получившийся текст. Работа организуется в группах с использованием всех необходимых материалов: словарей, учебников, памятки «Как правильно составлять аргументы при написании эссе» и других источников информации.</w:t>
      </w:r>
    </w:p>
    <w:p w:rsidR="00F03EFA" w:rsidRDefault="00281D9C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Для выдвижения аргументов в основной части эссе учащимся было рекомендовано воспользоваться ПОПС - формулой. </w:t>
      </w:r>
      <w:r>
        <w:t xml:space="preserve">Данный прием помог им прояснить свои мысли, а также сформулировать и предоставить свое мнение в четкой и сжатой форме. </w:t>
      </w:r>
      <w:r>
        <w:rPr>
          <w:color w:val="000000"/>
        </w:rPr>
        <w:t xml:space="preserve">Пример высказывания ученика: </w:t>
      </w:r>
      <w:r>
        <w:t>"Я думаю, что роман "Евгений Онегин" А.С. Пушкина интересен читателю XXI века, потому что проблемы, которые волновали людей того времени, актуальны и сейчас.</w:t>
      </w:r>
    </w:p>
    <w:p w:rsidR="00F03EFA" w:rsidRDefault="00281D9C">
      <w:pPr>
        <w:ind w:firstLine="708"/>
        <w:jc w:val="both"/>
      </w:pPr>
      <w:r>
        <w:t xml:space="preserve">Безусловно, каждый человек мечтает о настоящей любви. Важно    не пройти мимо той, единственной, с которой ты будешь счастлив. Эгоист, опустошенный светской жизнью, не поверил в силу чувства Татьяны и остался одинок. </w:t>
      </w:r>
    </w:p>
    <w:p w:rsidR="00F03EFA" w:rsidRDefault="00281D9C">
      <w:pPr>
        <w:ind w:firstLine="708"/>
        <w:jc w:val="both"/>
      </w:pPr>
      <w:r>
        <w:t>Почему она отвергла любовь Онегина через много лет? "Но я другому отдана..." Героиня осталась верна своему мужу и заслуживает уважения.  Измена, тайная любовь не могут сделать ее счастливой.</w:t>
      </w:r>
    </w:p>
    <w:p w:rsidR="00F03EFA" w:rsidRDefault="00281D9C">
      <w:pPr>
        <w:ind w:firstLine="708"/>
        <w:jc w:val="both"/>
      </w:pPr>
      <w:r>
        <w:t xml:space="preserve">Следовательно, в "самом задушевном" создании поэта мы находим ответы на многие интересующие нас вопросы". (Б.Д.)        </w:t>
      </w:r>
    </w:p>
    <w:p w:rsidR="00F03EFA" w:rsidRDefault="00281D9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Итак, эффективность учебного процесса во многом зависит от умения учителя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правильно организовать урок и грамотно выбрать ту или иную стратегию активного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обучения. Они дают возможность не только поднять интерес учащихся к предмету, но и</w:t>
      </w:r>
    </w:p>
    <w:p w:rsidR="00F03EFA" w:rsidRDefault="00281D9C">
      <w:pPr>
        <w:jc w:val="both"/>
        <w:rPr>
          <w:rFonts w:eastAsia="Times New Roman"/>
        </w:rPr>
      </w:pPr>
      <w:r>
        <w:rPr>
          <w:rFonts w:eastAsia="Times New Roman"/>
        </w:rPr>
        <w:t>развивать их творческую самостоятельность. Такие стратегии проведения занятий</w:t>
      </w:r>
    </w:p>
    <w:p w:rsidR="00F03EFA" w:rsidRDefault="00281D9C">
      <w:pPr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>позволяют сделать урок нетрадиционным, оживляют его.</w:t>
      </w:r>
    </w:p>
    <w:p w:rsidR="00F03EFA" w:rsidRDefault="00281D9C">
      <w:pPr>
        <w:pStyle w:val="a3"/>
        <w:spacing w:before="0" w:after="0"/>
        <w:ind w:firstLine="708"/>
        <w:jc w:val="both"/>
        <w:rPr>
          <w:color w:val="000000" w:themeColor="text1"/>
        </w:rPr>
      </w:pPr>
      <w:r>
        <w:rPr>
          <w:color w:val="000000"/>
        </w:rPr>
        <w:t xml:space="preserve">Справедливо говорят, что знания не дают – знания берут, что ничему нельзя научить, можно только научиться. А помочь школьникам применять полученные знания и сформированные умения по русскому языку и литературе в практической деятельности – это одна из важнейших задач учителя-словесника. </w:t>
      </w:r>
    </w:p>
    <w:p w:rsidR="00F03EFA" w:rsidRDefault="00F03EFA">
      <w:pPr>
        <w:jc w:val="both"/>
        <w:rPr>
          <w:rFonts w:eastAsia="Times New Roman"/>
        </w:rPr>
      </w:pPr>
    </w:p>
    <w:p w:rsidR="00F03EFA" w:rsidRDefault="00F03EFA">
      <w:pPr>
        <w:jc w:val="both"/>
        <w:rPr>
          <w:color w:val="000000" w:themeColor="text1"/>
          <w:sz w:val="28"/>
          <w:szCs w:val="28"/>
        </w:rPr>
      </w:pPr>
    </w:p>
    <w:p w:rsidR="00F03EFA" w:rsidRDefault="00F03EFA">
      <w:pPr>
        <w:jc w:val="both"/>
      </w:pPr>
    </w:p>
    <w:sectPr w:rsidR="00F03EFA" w:rsidSect="007D729B">
      <w:footerReference w:type="first" r:id="rId7"/>
      <w:pgSz w:w="11900" w:h="16840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7D" w:rsidRDefault="00926C7D">
      <w:r>
        <w:separator/>
      </w:r>
    </w:p>
  </w:endnote>
  <w:endnote w:type="continuationSeparator" w:id="0">
    <w:p w:rsidR="00926C7D" w:rsidRDefault="0092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FA" w:rsidRDefault="00F03EFA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7D" w:rsidRDefault="00926C7D">
      <w:r>
        <w:separator/>
      </w:r>
    </w:p>
  </w:footnote>
  <w:footnote w:type="continuationSeparator" w:id="0">
    <w:p w:rsidR="00926C7D" w:rsidRDefault="0092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1C44"/>
    <w:multiLevelType w:val="hybridMultilevel"/>
    <w:tmpl w:val="061475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29B"/>
    <w:rsid w:val="00067D79"/>
    <w:rsid w:val="000747F9"/>
    <w:rsid w:val="00281D9C"/>
    <w:rsid w:val="003267F2"/>
    <w:rsid w:val="003E5E7C"/>
    <w:rsid w:val="004D19AA"/>
    <w:rsid w:val="00582E73"/>
    <w:rsid w:val="00583CEC"/>
    <w:rsid w:val="007C49DE"/>
    <w:rsid w:val="007D729B"/>
    <w:rsid w:val="008A4F08"/>
    <w:rsid w:val="008A5DE3"/>
    <w:rsid w:val="008D7447"/>
    <w:rsid w:val="00923A50"/>
    <w:rsid w:val="00926C7D"/>
    <w:rsid w:val="00CF3924"/>
    <w:rsid w:val="00DD0564"/>
    <w:rsid w:val="00E516D4"/>
    <w:rsid w:val="00F03EFA"/>
    <w:rsid w:val="00F4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9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D7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7D7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472C4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7D729B"/>
    <w:rPr>
      <w:i/>
      <w:iCs/>
      <w:color w:val="4472C4" w:themeColor="accent1"/>
    </w:rPr>
  </w:style>
  <w:style w:type="character" w:styleId="a7">
    <w:name w:val="Emphasis"/>
    <w:basedOn w:val="a0"/>
    <w:uiPriority w:val="20"/>
    <w:qFormat/>
    <w:rsid w:val="007D729B"/>
    <w:rPr>
      <w:i/>
      <w:iCs/>
    </w:rPr>
  </w:style>
  <w:style w:type="character" w:customStyle="1" w:styleId="apple-converted-space">
    <w:name w:val="apple-converted-space"/>
    <w:basedOn w:val="a0"/>
    <w:rsid w:val="007D729B"/>
  </w:style>
  <w:style w:type="paragraph" w:styleId="a8">
    <w:name w:val="header"/>
    <w:basedOn w:val="a"/>
    <w:link w:val="a9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29B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29B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7D7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9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D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7D7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472C4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7D729B"/>
    <w:rPr>
      <w:i/>
      <w:iCs/>
      <w:color w:val="4472C4" w:themeColor="accent1"/>
    </w:rPr>
  </w:style>
  <w:style w:type="character" w:styleId="a7">
    <w:name w:val="Emphasis"/>
    <w:basedOn w:val="a0"/>
    <w:uiPriority w:val="20"/>
    <w:qFormat/>
    <w:rsid w:val="007D729B"/>
    <w:rPr>
      <w:i/>
      <w:iCs/>
    </w:rPr>
  </w:style>
  <w:style w:type="character" w:customStyle="1" w:styleId="apple-converted-space">
    <w:name w:val="apple-converted-space"/>
    <w:basedOn w:val="a0"/>
    <w:rsid w:val="007D729B"/>
  </w:style>
  <w:style w:type="paragraph" w:styleId="a8">
    <w:name w:val="header"/>
    <w:basedOn w:val="a"/>
    <w:link w:val="a9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29B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7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29B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7D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Сембаева</dc:creator>
  <cp:lastModifiedBy>Васинова</cp:lastModifiedBy>
  <cp:revision>3</cp:revision>
  <dcterms:created xsi:type="dcterms:W3CDTF">2020-10-20T18:01:00Z</dcterms:created>
  <dcterms:modified xsi:type="dcterms:W3CDTF">2020-10-23T07:51:00Z</dcterms:modified>
</cp:coreProperties>
</file>